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563DE" w14:textId="0529E90C" w:rsidR="00EF3A00" w:rsidRDefault="00EF3A00" w:rsidP="00EF3A00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Cross-reference list</w:t>
      </w:r>
    </w:p>
    <w:p w14:paraId="33DE2A02" w14:textId="77777777" w:rsidR="00EF3A00" w:rsidRDefault="00EF3A00" w:rsidP="00EF3A00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26E90E3D" w14:textId="299B34A8" w:rsidR="00EF3807" w:rsidRDefault="00E620A9" w:rsidP="008F415D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Article 7</w:t>
      </w:r>
      <w:r w:rsidR="00EF3A00">
        <w:rPr>
          <w:rFonts w:ascii="Arial" w:hAnsi="Arial" w:cs="Arial"/>
          <w:b/>
          <w:sz w:val="22"/>
          <w:szCs w:val="22"/>
        </w:rPr>
        <w:t xml:space="preserve"> of </w:t>
      </w:r>
      <w:r w:rsidR="00693187">
        <w:rPr>
          <w:rFonts w:ascii="Arial" w:hAnsi="Arial" w:cs="Arial"/>
          <w:b/>
          <w:sz w:val="22"/>
          <w:szCs w:val="22"/>
        </w:rPr>
        <w:t xml:space="preserve">the PROSPECTUS </w:t>
      </w:r>
      <w:r w:rsidR="00EF3A00" w:rsidRPr="00EF3A00">
        <w:rPr>
          <w:rFonts w:ascii="Arial" w:hAnsi="Arial" w:cs="Arial"/>
          <w:b/>
          <w:sz w:val="22"/>
          <w:szCs w:val="22"/>
        </w:rPr>
        <w:t xml:space="preserve">REGULATION </w:t>
      </w:r>
      <w:r w:rsidR="00D86318">
        <w:rPr>
          <w:rFonts w:ascii="Arial" w:hAnsi="Arial" w:cs="Arial"/>
          <w:b/>
          <w:sz w:val="22"/>
          <w:szCs w:val="22"/>
        </w:rPr>
        <w:t>(</w:t>
      </w:r>
      <w:r w:rsidR="00EF3A00" w:rsidRPr="00EF3A00">
        <w:rPr>
          <w:rFonts w:ascii="Arial" w:hAnsi="Arial" w:cs="Arial"/>
          <w:b/>
          <w:sz w:val="22"/>
          <w:szCs w:val="22"/>
        </w:rPr>
        <w:t>(EU) 2017/1129</w:t>
      </w:r>
      <w:r w:rsidR="00D86318">
        <w:rPr>
          <w:rFonts w:ascii="Arial" w:hAnsi="Arial" w:cs="Arial"/>
          <w:b/>
          <w:sz w:val="22"/>
          <w:szCs w:val="22"/>
        </w:rPr>
        <w:t>)</w:t>
      </w:r>
      <w:r w:rsidR="00EF3A00" w:rsidRPr="00EF3A00">
        <w:rPr>
          <w:rFonts w:ascii="Arial" w:hAnsi="Arial" w:cs="Arial"/>
          <w:b/>
          <w:sz w:val="22"/>
          <w:szCs w:val="22"/>
        </w:rPr>
        <w:t xml:space="preserve"> </w:t>
      </w:r>
    </w:p>
    <w:p w14:paraId="6625056B" w14:textId="77777777" w:rsidR="00B0762D" w:rsidRDefault="00B0762D" w:rsidP="00EF3A00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494773C3" w14:textId="3D43FE2D" w:rsidR="00EF3A00" w:rsidRDefault="00EF3A00" w:rsidP="00EF3A00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AND</w:t>
      </w:r>
    </w:p>
    <w:p w14:paraId="747AC6F5" w14:textId="77777777" w:rsidR="00B0762D" w:rsidRDefault="00B0762D" w:rsidP="00EF3A00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55D40829" w14:textId="0E9DC7F5" w:rsidR="00EF3807" w:rsidRDefault="00B0762D" w:rsidP="002B47A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ANNEXES </w:t>
      </w:r>
      <w:r w:rsidR="00EF3A00" w:rsidRPr="00EF3A00">
        <w:rPr>
          <w:rFonts w:ascii="Arial" w:hAnsi="Arial" w:cs="Arial"/>
          <w:b/>
          <w:sz w:val="22"/>
          <w:szCs w:val="22"/>
        </w:rPr>
        <w:t>to the</w:t>
      </w:r>
      <w:r w:rsidR="008F415D">
        <w:rPr>
          <w:rFonts w:ascii="Arial" w:hAnsi="Arial" w:cs="Arial"/>
          <w:b/>
          <w:sz w:val="22"/>
          <w:szCs w:val="22"/>
        </w:rPr>
        <w:t xml:space="preserve"> </w:t>
      </w:r>
      <w:r w:rsidR="00D86318">
        <w:rPr>
          <w:rFonts w:ascii="Arial" w:hAnsi="Arial" w:cs="Arial"/>
          <w:b/>
          <w:sz w:val="22"/>
          <w:szCs w:val="22"/>
        </w:rPr>
        <w:t>PROSPECTUS RTS REGULATION (</w:t>
      </w:r>
      <w:r w:rsidR="002B47A2" w:rsidRPr="002B47A2">
        <w:rPr>
          <w:rFonts w:ascii="Arial" w:hAnsi="Arial" w:cs="Arial"/>
          <w:b/>
          <w:sz w:val="22"/>
          <w:szCs w:val="22"/>
        </w:rPr>
        <w:t>COMMISSION DELEGATED REGULATION (EU) 2019/</w:t>
      </w:r>
      <w:r w:rsidR="00693187" w:rsidRPr="002B47A2">
        <w:rPr>
          <w:rFonts w:ascii="Arial" w:hAnsi="Arial" w:cs="Arial"/>
          <w:b/>
          <w:sz w:val="22"/>
          <w:szCs w:val="22"/>
        </w:rPr>
        <w:t>9</w:t>
      </w:r>
      <w:r w:rsidR="00693187">
        <w:rPr>
          <w:rFonts w:ascii="Arial" w:hAnsi="Arial" w:cs="Arial"/>
          <w:b/>
          <w:sz w:val="22"/>
          <w:szCs w:val="22"/>
        </w:rPr>
        <w:t>79</w:t>
      </w:r>
      <w:r w:rsidR="00D86318">
        <w:rPr>
          <w:rFonts w:ascii="Arial" w:hAnsi="Arial" w:cs="Arial"/>
          <w:b/>
          <w:sz w:val="22"/>
          <w:szCs w:val="22"/>
        </w:rPr>
        <w:t>)</w:t>
      </w:r>
      <w:r w:rsidR="005F5510">
        <w:rPr>
          <w:rFonts w:ascii="Arial" w:hAnsi="Arial" w:cs="Arial"/>
          <w:b/>
          <w:sz w:val="22"/>
          <w:szCs w:val="22"/>
        </w:rPr>
        <w:t xml:space="preserve"> (RTS)</w:t>
      </w:r>
    </w:p>
    <w:p w14:paraId="745611FB" w14:textId="77777777" w:rsidR="008F415D" w:rsidRDefault="008F415D" w:rsidP="008F415D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28A6E627" w14:textId="4BBCD6A9" w:rsidR="00EF3807" w:rsidRDefault="00E620A9" w:rsidP="00B0762D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Summary</w:t>
      </w:r>
    </w:p>
    <w:p w14:paraId="2683E5D7" w14:textId="77777777" w:rsidR="00B0762D" w:rsidRPr="00B0762D" w:rsidRDefault="00B0762D" w:rsidP="00B0762D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083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6"/>
        <w:gridCol w:w="7557"/>
      </w:tblGrid>
      <w:tr w:rsidR="00EF3807" w:rsidRPr="000E71D3" w14:paraId="7A452DC9" w14:textId="77777777" w:rsidTr="00EF3807">
        <w:trPr>
          <w:trHeight w:val="319"/>
        </w:trPr>
        <w:tc>
          <w:tcPr>
            <w:tcW w:w="2526" w:type="dxa"/>
          </w:tcPr>
          <w:p w14:paraId="25D81F91" w14:textId="77777777" w:rsidR="00EF3807" w:rsidRPr="000E71D3" w:rsidRDefault="00EF3807" w:rsidP="00F77717">
            <w:pPr>
              <w:pStyle w:val="TableText"/>
              <w:rPr>
                <w:rFonts w:ascii="Arial" w:hAnsi="Arial" w:cs="Arial"/>
                <w:i/>
                <w:sz w:val="18"/>
              </w:rPr>
            </w:pPr>
            <w:r w:rsidRPr="000E71D3">
              <w:rPr>
                <w:rFonts w:ascii="Arial" w:hAnsi="Arial" w:cs="Arial"/>
                <w:i/>
                <w:sz w:val="18"/>
              </w:rPr>
              <w:t>Name of Company:</w:t>
            </w:r>
          </w:p>
        </w:tc>
        <w:tc>
          <w:tcPr>
            <w:tcW w:w="7557" w:type="dxa"/>
          </w:tcPr>
          <w:p w14:paraId="6F3FB665" w14:textId="77777777" w:rsidR="00EF3807" w:rsidRPr="000E71D3" w:rsidRDefault="00EF3807" w:rsidP="00F77717">
            <w:pPr>
              <w:pStyle w:val="TableText"/>
              <w:rPr>
                <w:rFonts w:ascii="Arial" w:hAnsi="Arial" w:cs="Arial"/>
              </w:rPr>
            </w:pPr>
          </w:p>
        </w:tc>
      </w:tr>
      <w:tr w:rsidR="00EF3807" w:rsidRPr="000E71D3" w14:paraId="2B2A4F75" w14:textId="77777777" w:rsidTr="00EF3807">
        <w:trPr>
          <w:trHeight w:val="595"/>
        </w:trPr>
        <w:tc>
          <w:tcPr>
            <w:tcW w:w="2526" w:type="dxa"/>
          </w:tcPr>
          <w:p w14:paraId="4AFA63D7" w14:textId="77777777" w:rsidR="00EF3807" w:rsidRPr="000E71D3" w:rsidRDefault="00EF3807" w:rsidP="00F77717">
            <w:pPr>
              <w:pStyle w:val="TableText"/>
              <w:rPr>
                <w:rFonts w:ascii="Arial" w:hAnsi="Arial" w:cs="Arial"/>
                <w:i/>
                <w:sz w:val="18"/>
              </w:rPr>
            </w:pPr>
            <w:r w:rsidRPr="000E71D3">
              <w:rPr>
                <w:rFonts w:ascii="Arial" w:hAnsi="Arial" w:cs="Arial"/>
                <w:i/>
                <w:sz w:val="18"/>
              </w:rPr>
              <w:t>Nature of Transaction:</w:t>
            </w:r>
          </w:p>
        </w:tc>
        <w:tc>
          <w:tcPr>
            <w:tcW w:w="7557" w:type="dxa"/>
          </w:tcPr>
          <w:p w14:paraId="02D517A2" w14:textId="77777777" w:rsidR="00EF3807" w:rsidRPr="000E71D3" w:rsidRDefault="00EF3807" w:rsidP="00F77717">
            <w:pPr>
              <w:pStyle w:val="TableText"/>
              <w:rPr>
                <w:rFonts w:ascii="Arial" w:hAnsi="Arial" w:cs="Arial"/>
              </w:rPr>
            </w:pPr>
          </w:p>
          <w:p w14:paraId="43F8643D" w14:textId="77777777" w:rsidR="00EF3807" w:rsidRPr="000E71D3" w:rsidRDefault="00EF3807" w:rsidP="00F77717">
            <w:pPr>
              <w:pStyle w:val="TableText"/>
              <w:rPr>
                <w:rFonts w:ascii="Arial" w:hAnsi="Arial" w:cs="Arial"/>
              </w:rPr>
            </w:pPr>
          </w:p>
        </w:tc>
      </w:tr>
      <w:tr w:rsidR="00EF3807" w:rsidRPr="000E71D3" w14:paraId="225F2B24" w14:textId="77777777" w:rsidTr="00EF3807">
        <w:trPr>
          <w:trHeight w:val="312"/>
        </w:trPr>
        <w:tc>
          <w:tcPr>
            <w:tcW w:w="2526" w:type="dxa"/>
          </w:tcPr>
          <w:p w14:paraId="1136F713" w14:textId="77777777" w:rsidR="00EF3807" w:rsidRPr="000E71D3" w:rsidRDefault="00EF3807" w:rsidP="00F77717">
            <w:pPr>
              <w:pStyle w:val="TableText"/>
              <w:rPr>
                <w:rFonts w:ascii="Arial" w:hAnsi="Arial" w:cs="Arial"/>
                <w:i/>
                <w:sz w:val="18"/>
              </w:rPr>
            </w:pPr>
            <w:r w:rsidRPr="000E71D3">
              <w:rPr>
                <w:rFonts w:ascii="Arial" w:hAnsi="Arial" w:cs="Arial"/>
                <w:i/>
                <w:sz w:val="18"/>
              </w:rPr>
              <w:t>Name of Sponsor/Adviser:</w:t>
            </w:r>
          </w:p>
        </w:tc>
        <w:tc>
          <w:tcPr>
            <w:tcW w:w="7557" w:type="dxa"/>
          </w:tcPr>
          <w:p w14:paraId="04B156E4" w14:textId="77777777" w:rsidR="00EF3807" w:rsidRPr="000E71D3" w:rsidRDefault="00EF3807" w:rsidP="00F77717">
            <w:pPr>
              <w:pStyle w:val="TableText"/>
              <w:rPr>
                <w:rFonts w:ascii="Arial" w:hAnsi="Arial" w:cs="Arial"/>
              </w:rPr>
            </w:pPr>
          </w:p>
        </w:tc>
      </w:tr>
      <w:tr w:rsidR="00EF3807" w:rsidRPr="000E71D3" w14:paraId="5975C145" w14:textId="77777777" w:rsidTr="00EF3807">
        <w:trPr>
          <w:trHeight w:val="319"/>
        </w:trPr>
        <w:tc>
          <w:tcPr>
            <w:tcW w:w="2526" w:type="dxa"/>
          </w:tcPr>
          <w:p w14:paraId="3806D467" w14:textId="77777777" w:rsidR="00EF3807" w:rsidRPr="000E71D3" w:rsidRDefault="00EF3807" w:rsidP="00F77717">
            <w:pPr>
              <w:pStyle w:val="TableText"/>
              <w:rPr>
                <w:rFonts w:ascii="Arial" w:hAnsi="Arial" w:cs="Arial"/>
                <w:i/>
                <w:sz w:val="18"/>
              </w:rPr>
            </w:pPr>
            <w:r w:rsidRPr="000E71D3">
              <w:rPr>
                <w:rFonts w:ascii="Arial" w:hAnsi="Arial" w:cs="Arial"/>
                <w:i/>
                <w:sz w:val="18"/>
              </w:rPr>
              <w:t>Date Submitted:</w:t>
            </w:r>
          </w:p>
        </w:tc>
        <w:tc>
          <w:tcPr>
            <w:tcW w:w="7557" w:type="dxa"/>
          </w:tcPr>
          <w:p w14:paraId="790F4277" w14:textId="77777777" w:rsidR="00EF3807" w:rsidRPr="000E71D3" w:rsidRDefault="00EF3807" w:rsidP="00F77717">
            <w:pPr>
              <w:pStyle w:val="TableText"/>
              <w:rPr>
                <w:rFonts w:ascii="Arial" w:hAnsi="Arial" w:cs="Arial"/>
              </w:rPr>
            </w:pPr>
          </w:p>
        </w:tc>
      </w:tr>
    </w:tbl>
    <w:p w14:paraId="1253F06F" w14:textId="2A145672" w:rsidR="00EF3807" w:rsidRPr="000767AC" w:rsidRDefault="00EF3807" w:rsidP="00EF3807">
      <w:pPr>
        <w:pStyle w:val="BodyText"/>
        <w:rPr>
          <w:rFonts w:ascii="Arial" w:hAnsi="Arial" w:cs="Arial"/>
        </w:rPr>
      </w:pPr>
    </w:p>
    <w:p w14:paraId="78E0A9AA" w14:textId="77777777" w:rsidR="006810BD" w:rsidRDefault="006810BD" w:rsidP="00EF3807"/>
    <w:p w14:paraId="63917ACB" w14:textId="6CD99106" w:rsidR="006810BD" w:rsidRDefault="006810BD" w:rsidP="00EF3807"/>
    <w:tbl>
      <w:tblPr>
        <w:tblStyle w:val="TableGrid"/>
        <w:tblW w:w="0" w:type="auto"/>
        <w:tblInd w:w="392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17"/>
        <w:gridCol w:w="4528"/>
        <w:gridCol w:w="992"/>
        <w:gridCol w:w="992"/>
        <w:gridCol w:w="2977"/>
      </w:tblGrid>
      <w:tr w:rsidR="006810BD" w:rsidRPr="006810BD" w14:paraId="60670403" w14:textId="77777777" w:rsidTr="001A548B">
        <w:trPr>
          <w:trHeight w:val="743"/>
          <w:tblHeader/>
        </w:trPr>
        <w:tc>
          <w:tcPr>
            <w:tcW w:w="717" w:type="dxa"/>
            <w:shd w:val="clear" w:color="auto" w:fill="632423" w:themeFill="accent2" w:themeFillShade="80"/>
            <w:noWrap/>
          </w:tcPr>
          <w:p w14:paraId="576B4C22" w14:textId="3B7B2B33" w:rsidR="006810BD" w:rsidRPr="006810BD" w:rsidRDefault="006810BD" w:rsidP="006810BD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6810B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Rule</w:t>
            </w:r>
          </w:p>
        </w:tc>
        <w:tc>
          <w:tcPr>
            <w:tcW w:w="4528" w:type="dxa"/>
            <w:shd w:val="clear" w:color="auto" w:fill="632423" w:themeFill="accent2" w:themeFillShade="80"/>
          </w:tcPr>
          <w:p w14:paraId="4A549B74" w14:textId="77777777" w:rsidR="006810BD" w:rsidRPr="006810BD" w:rsidRDefault="006810BD" w:rsidP="006810BD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shd w:val="clear" w:color="auto" w:fill="632423" w:themeFill="accent2" w:themeFillShade="80"/>
          </w:tcPr>
          <w:p w14:paraId="2ADC8895" w14:textId="609C3649" w:rsidR="006810BD" w:rsidRPr="006810BD" w:rsidRDefault="006810BD" w:rsidP="006810BD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6810B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Page</w:t>
            </w:r>
          </w:p>
        </w:tc>
        <w:tc>
          <w:tcPr>
            <w:tcW w:w="992" w:type="dxa"/>
            <w:shd w:val="clear" w:color="auto" w:fill="632423" w:themeFill="accent2" w:themeFillShade="80"/>
          </w:tcPr>
          <w:p w14:paraId="697094FE" w14:textId="477626C7" w:rsidR="006810BD" w:rsidRPr="006810BD" w:rsidRDefault="006810BD" w:rsidP="006810BD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6810B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Proof Number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1F10BE73" w14:textId="2023FC4E" w:rsidR="006810BD" w:rsidRPr="006810BD" w:rsidRDefault="006810BD" w:rsidP="006810BD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6810B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Comments (where applicable</w:t>
            </w:r>
          </w:p>
        </w:tc>
      </w:tr>
      <w:tr w:rsidR="00170C1E" w:rsidRPr="006810BD" w14:paraId="7270CC9D" w14:textId="77777777" w:rsidTr="001A548B">
        <w:trPr>
          <w:trHeight w:val="324"/>
        </w:trPr>
        <w:tc>
          <w:tcPr>
            <w:tcW w:w="717" w:type="dxa"/>
            <w:noWrap/>
          </w:tcPr>
          <w:p w14:paraId="54E30121" w14:textId="43B4D064" w:rsidR="00170C1E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4528" w:type="dxa"/>
          </w:tcPr>
          <w:p w14:paraId="30D24C4A" w14:textId="77777777" w:rsidR="00170C1E" w:rsidRDefault="00170C1E" w:rsidP="00170C1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0C1E">
              <w:rPr>
                <w:rFonts w:ascii="Arial" w:hAnsi="Arial" w:cs="Arial"/>
                <w:sz w:val="18"/>
                <w:szCs w:val="18"/>
                <w:lang w:val="en-GB"/>
              </w:rPr>
              <w:t>The summary shall be drawn up as a short document written in a concise manner 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nd of a maximum length of seven </w:t>
            </w:r>
            <w:r w:rsidRPr="00170C1E">
              <w:rPr>
                <w:rFonts w:ascii="Arial" w:hAnsi="Arial" w:cs="Arial"/>
                <w:sz w:val="18"/>
                <w:szCs w:val="18"/>
                <w:lang w:val="en-GB"/>
              </w:rPr>
              <w:t>sides of A4-sized paper w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hen printed. The summary shall:</w:t>
            </w:r>
          </w:p>
          <w:p w14:paraId="7C7A1D7E" w14:textId="77777777" w:rsidR="00170C1E" w:rsidRDefault="00170C1E" w:rsidP="00170C1E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0C1E">
              <w:rPr>
                <w:rFonts w:ascii="Arial" w:hAnsi="Arial" w:cs="Arial"/>
                <w:sz w:val="18"/>
                <w:szCs w:val="18"/>
                <w:lang w:val="en-GB"/>
              </w:rPr>
              <w:t>be presented and laid out in a way that is easy to read, using characters of readable size;</w:t>
            </w:r>
          </w:p>
          <w:p w14:paraId="23AF43CE" w14:textId="1EB5479F" w:rsidR="00170C1E" w:rsidRPr="001A548B" w:rsidRDefault="00170C1E" w:rsidP="001A548B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0C1E">
              <w:rPr>
                <w:rFonts w:ascii="Arial" w:hAnsi="Arial" w:cs="Arial"/>
                <w:sz w:val="18"/>
                <w:szCs w:val="18"/>
                <w:lang w:val="en-GB"/>
              </w:rPr>
              <w:t>be written in a language and a style that facilitate the understanding of the information</w:t>
            </w:r>
            <w:proofErr w:type="gramStart"/>
            <w:r w:rsidRPr="00170C1E">
              <w:rPr>
                <w:rFonts w:ascii="Arial" w:hAnsi="Arial" w:cs="Arial"/>
                <w:sz w:val="18"/>
                <w:szCs w:val="18"/>
                <w:lang w:val="en-GB"/>
              </w:rPr>
              <w:t>, in particular, in</w:t>
            </w:r>
            <w:proofErr w:type="gramEnd"/>
            <w:r w:rsidRPr="00170C1E">
              <w:rPr>
                <w:rFonts w:ascii="Arial" w:hAnsi="Arial" w:cs="Arial"/>
                <w:sz w:val="18"/>
                <w:szCs w:val="18"/>
                <w:lang w:val="en-GB"/>
              </w:rPr>
              <w:t xml:space="preserve"> language that is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170C1E">
              <w:rPr>
                <w:rFonts w:ascii="Arial" w:hAnsi="Arial" w:cs="Arial"/>
                <w:sz w:val="18"/>
                <w:szCs w:val="18"/>
                <w:lang w:val="en-GB"/>
              </w:rPr>
              <w:t>clear, non-technical, concise an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 comprehensible for investors.</w:t>
            </w:r>
          </w:p>
        </w:tc>
        <w:tc>
          <w:tcPr>
            <w:tcW w:w="992" w:type="dxa"/>
          </w:tcPr>
          <w:p w14:paraId="15C8F022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58B107F7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1A8B70BD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70C1E" w:rsidRPr="006810BD" w14:paraId="1D51D8BA" w14:textId="77777777" w:rsidTr="001A548B">
        <w:trPr>
          <w:trHeight w:val="324"/>
        </w:trPr>
        <w:tc>
          <w:tcPr>
            <w:tcW w:w="717" w:type="dxa"/>
            <w:noWrap/>
          </w:tcPr>
          <w:p w14:paraId="4AD2F1E2" w14:textId="128AA5F5" w:rsidR="00170C1E" w:rsidRDefault="0077583A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4528" w:type="dxa"/>
          </w:tcPr>
          <w:p w14:paraId="19965A86" w14:textId="1E784825" w:rsidR="0077583A" w:rsidRDefault="0077583A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83A">
              <w:rPr>
                <w:rFonts w:ascii="Arial" w:hAnsi="Arial" w:cs="Arial"/>
                <w:sz w:val="18"/>
                <w:szCs w:val="18"/>
                <w:lang w:val="en-GB"/>
              </w:rPr>
              <w:t xml:space="preserve">The summary shall be made up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of the following four sections:</w:t>
            </w:r>
          </w:p>
        </w:tc>
        <w:tc>
          <w:tcPr>
            <w:tcW w:w="992" w:type="dxa"/>
          </w:tcPr>
          <w:p w14:paraId="381B7DFA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11BCBB9C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107616B5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70C1E" w:rsidRPr="006810BD" w14:paraId="6D2BBD9E" w14:textId="77777777" w:rsidTr="001A548B">
        <w:trPr>
          <w:trHeight w:val="324"/>
        </w:trPr>
        <w:tc>
          <w:tcPr>
            <w:tcW w:w="717" w:type="dxa"/>
            <w:noWrap/>
          </w:tcPr>
          <w:p w14:paraId="1F0E0991" w14:textId="1D8821F6" w:rsidR="00170C1E" w:rsidRDefault="0077583A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 (a)</w:t>
            </w:r>
          </w:p>
        </w:tc>
        <w:tc>
          <w:tcPr>
            <w:tcW w:w="4528" w:type="dxa"/>
          </w:tcPr>
          <w:p w14:paraId="7891C50E" w14:textId="3F8E0135" w:rsidR="00170C1E" w:rsidRDefault="0077583A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83A">
              <w:rPr>
                <w:rFonts w:ascii="Arial" w:hAnsi="Arial" w:cs="Arial"/>
                <w:sz w:val="18"/>
                <w:szCs w:val="18"/>
                <w:lang w:val="en-GB"/>
              </w:rPr>
              <w:t>an introduction, containing warnings;</w:t>
            </w:r>
          </w:p>
        </w:tc>
        <w:tc>
          <w:tcPr>
            <w:tcW w:w="992" w:type="dxa"/>
          </w:tcPr>
          <w:p w14:paraId="0B41B1EF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7253DD70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1662F3B2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70C1E" w:rsidRPr="006810BD" w14:paraId="6643A2BD" w14:textId="77777777" w:rsidTr="001A548B">
        <w:trPr>
          <w:trHeight w:val="324"/>
        </w:trPr>
        <w:tc>
          <w:tcPr>
            <w:tcW w:w="717" w:type="dxa"/>
            <w:noWrap/>
          </w:tcPr>
          <w:p w14:paraId="4457F369" w14:textId="38B959D1" w:rsidR="00170C1E" w:rsidRDefault="0077583A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 (b)</w:t>
            </w:r>
          </w:p>
        </w:tc>
        <w:tc>
          <w:tcPr>
            <w:tcW w:w="4528" w:type="dxa"/>
          </w:tcPr>
          <w:p w14:paraId="7D21DC75" w14:textId="1259463F" w:rsidR="00170C1E" w:rsidRDefault="0077583A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83A">
              <w:rPr>
                <w:rFonts w:ascii="Arial" w:hAnsi="Arial" w:cs="Arial"/>
                <w:sz w:val="18"/>
                <w:szCs w:val="18"/>
                <w:lang w:val="en-GB"/>
              </w:rPr>
              <w:t>key information on the issuer;</w:t>
            </w:r>
          </w:p>
        </w:tc>
        <w:tc>
          <w:tcPr>
            <w:tcW w:w="992" w:type="dxa"/>
          </w:tcPr>
          <w:p w14:paraId="17136220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5DA83592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191C1AFA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70C1E" w:rsidRPr="006810BD" w14:paraId="3FB3746F" w14:textId="77777777" w:rsidTr="001A548B">
        <w:trPr>
          <w:trHeight w:val="324"/>
        </w:trPr>
        <w:tc>
          <w:tcPr>
            <w:tcW w:w="717" w:type="dxa"/>
            <w:noWrap/>
          </w:tcPr>
          <w:p w14:paraId="7658097E" w14:textId="50CC6606" w:rsidR="00170C1E" w:rsidRDefault="0077583A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 (c)</w:t>
            </w:r>
          </w:p>
        </w:tc>
        <w:tc>
          <w:tcPr>
            <w:tcW w:w="4528" w:type="dxa"/>
          </w:tcPr>
          <w:p w14:paraId="2A712195" w14:textId="2C3DAAEC" w:rsidR="00170C1E" w:rsidRDefault="0077583A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83A">
              <w:rPr>
                <w:rFonts w:ascii="Arial" w:hAnsi="Arial" w:cs="Arial"/>
                <w:sz w:val="18"/>
                <w:szCs w:val="18"/>
                <w:lang w:val="en-GB"/>
              </w:rPr>
              <w:t>key information on the securities;</w:t>
            </w:r>
          </w:p>
        </w:tc>
        <w:tc>
          <w:tcPr>
            <w:tcW w:w="992" w:type="dxa"/>
          </w:tcPr>
          <w:p w14:paraId="51221FE1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252DD0E8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69B429C6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70C1E" w:rsidRPr="006810BD" w14:paraId="36B0AFBF" w14:textId="77777777" w:rsidTr="001A548B">
        <w:trPr>
          <w:trHeight w:val="324"/>
        </w:trPr>
        <w:tc>
          <w:tcPr>
            <w:tcW w:w="717" w:type="dxa"/>
            <w:noWrap/>
          </w:tcPr>
          <w:p w14:paraId="0D2324C0" w14:textId="42E44E19" w:rsidR="00170C1E" w:rsidRDefault="0077583A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 (d)</w:t>
            </w:r>
          </w:p>
        </w:tc>
        <w:tc>
          <w:tcPr>
            <w:tcW w:w="4528" w:type="dxa"/>
          </w:tcPr>
          <w:p w14:paraId="184587AF" w14:textId="4594C281" w:rsidR="001A548B" w:rsidRDefault="0077583A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83A">
              <w:rPr>
                <w:rFonts w:ascii="Arial" w:hAnsi="Arial" w:cs="Arial"/>
                <w:sz w:val="18"/>
                <w:szCs w:val="18"/>
                <w:lang w:val="en-GB"/>
              </w:rPr>
              <w:t>key information on the offer of securities to the public and/or the admission to trading on a regulated market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992" w:type="dxa"/>
          </w:tcPr>
          <w:p w14:paraId="3E730550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5D9FA581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509D1EBA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810BD" w:rsidRPr="006810BD" w14:paraId="6E5B89C8" w14:textId="2785FA5C" w:rsidTr="001A548B">
        <w:trPr>
          <w:trHeight w:val="324"/>
        </w:trPr>
        <w:tc>
          <w:tcPr>
            <w:tcW w:w="717" w:type="dxa"/>
            <w:noWrap/>
            <w:hideMark/>
          </w:tcPr>
          <w:p w14:paraId="2073C91E" w14:textId="65D4CD7D" w:rsidR="006810BD" w:rsidRPr="006810BD" w:rsidRDefault="00E620A9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4528" w:type="dxa"/>
            <w:hideMark/>
          </w:tcPr>
          <w:p w14:paraId="14F74D42" w14:textId="3623DD65" w:rsidR="00E620A9" w:rsidRPr="008D7AF4" w:rsidRDefault="00E620A9" w:rsidP="006810BD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D7AF4">
              <w:rPr>
                <w:rFonts w:ascii="Arial" w:hAnsi="Arial" w:cs="Arial"/>
                <w:b/>
                <w:sz w:val="18"/>
                <w:szCs w:val="18"/>
                <w:lang w:val="en-GB"/>
              </w:rPr>
              <w:t>INTRODUCTION AND WARNINGS</w:t>
            </w:r>
          </w:p>
        </w:tc>
        <w:tc>
          <w:tcPr>
            <w:tcW w:w="992" w:type="dxa"/>
          </w:tcPr>
          <w:p w14:paraId="11CA2704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4D882C3B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59E2563D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810BD" w:rsidRPr="006810BD" w14:paraId="60E8ABB0" w14:textId="5B13528D" w:rsidTr="001A548B">
        <w:trPr>
          <w:trHeight w:val="1733"/>
        </w:trPr>
        <w:tc>
          <w:tcPr>
            <w:tcW w:w="717" w:type="dxa"/>
            <w:noWrap/>
            <w:hideMark/>
          </w:tcPr>
          <w:p w14:paraId="48C1AF52" w14:textId="78CD3785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28" w:type="dxa"/>
            <w:hideMark/>
          </w:tcPr>
          <w:p w14:paraId="339A3617" w14:textId="75DF325F" w:rsidR="00E620A9" w:rsidRDefault="00E620A9" w:rsidP="00E620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>The section referred to in point (a) of paragraph 4 shall contain:</w:t>
            </w:r>
          </w:p>
          <w:p w14:paraId="0E9C6A77" w14:textId="77777777" w:rsidR="00E620A9" w:rsidRPr="00E620A9" w:rsidRDefault="00E620A9" w:rsidP="00E620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4D3F6AD" w14:textId="3442AD27" w:rsidR="00E620A9" w:rsidRPr="00E620A9" w:rsidRDefault="00E620A9" w:rsidP="00E620A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>the name and international securities identification number (ISIN) of the securities;</w:t>
            </w:r>
          </w:p>
          <w:p w14:paraId="3850C035" w14:textId="77777777" w:rsidR="00E620A9" w:rsidRDefault="00E620A9" w:rsidP="00E620A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>the identity and contact details of the issuer, including its legal entity identifier (LEI);</w:t>
            </w:r>
          </w:p>
          <w:p w14:paraId="5A233268" w14:textId="77777777" w:rsidR="00E620A9" w:rsidRDefault="00E620A9" w:rsidP="00E620A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 xml:space="preserve">where applicable, the identity and contact </w:t>
            </w: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details of the offeror, including its LEI if the offeror has legal personality, or of the person asking for admission to trading on a regulated market;</w:t>
            </w:r>
          </w:p>
          <w:p w14:paraId="10AAB779" w14:textId="77777777" w:rsidR="00E620A9" w:rsidRDefault="00E620A9" w:rsidP="00E620A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>the identity and contact details of the competent authority approving the prospectus and, where different, the competent authority that approved the registration document or the universal registration document;</w:t>
            </w:r>
          </w:p>
          <w:p w14:paraId="496FCBC2" w14:textId="3487039B" w:rsidR="00E620A9" w:rsidRPr="001A548B" w:rsidRDefault="00E620A9" w:rsidP="001A548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>the date of approval of the prospectus;</w:t>
            </w:r>
          </w:p>
        </w:tc>
        <w:tc>
          <w:tcPr>
            <w:tcW w:w="992" w:type="dxa"/>
          </w:tcPr>
          <w:p w14:paraId="39604528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6A17A065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0F52D6C0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810BD" w:rsidRPr="006810BD" w14:paraId="10D06D33" w14:textId="780529F6" w:rsidTr="001A548B">
        <w:trPr>
          <w:trHeight w:val="2723"/>
        </w:trPr>
        <w:tc>
          <w:tcPr>
            <w:tcW w:w="717" w:type="dxa"/>
            <w:noWrap/>
            <w:hideMark/>
          </w:tcPr>
          <w:p w14:paraId="590F7373" w14:textId="3929E6BA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28" w:type="dxa"/>
            <w:hideMark/>
          </w:tcPr>
          <w:p w14:paraId="6E06DDFC" w14:textId="10AB433F" w:rsidR="00E620A9" w:rsidRDefault="00E620A9" w:rsidP="00E620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>It shall contain the following warnings:</w:t>
            </w:r>
          </w:p>
          <w:p w14:paraId="153F8807" w14:textId="77777777" w:rsidR="00E620A9" w:rsidRPr="00E620A9" w:rsidRDefault="00E620A9" w:rsidP="00E620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A0D3D69" w14:textId="77777777" w:rsidR="00E620A9" w:rsidRDefault="00E620A9" w:rsidP="00E620A9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>the summary should be read as an introduction to the prospectus;</w:t>
            </w:r>
          </w:p>
          <w:p w14:paraId="11ADA01F" w14:textId="77777777" w:rsidR="00E620A9" w:rsidRDefault="00E620A9" w:rsidP="00E620A9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 xml:space="preserve">any decision to invest in the securities should be based on a consideration of the prospectus </w:t>
            </w:r>
            <w:proofErr w:type="gramStart"/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>as a whole by</w:t>
            </w:r>
            <w:proofErr w:type="gramEnd"/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 xml:space="preserve"> the investor;</w:t>
            </w:r>
          </w:p>
          <w:p w14:paraId="0B8773D8" w14:textId="77777777" w:rsidR="00E620A9" w:rsidRDefault="00E620A9" w:rsidP="00E620A9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>where applicable, that the investor could lose all or part of the invested capital and, where the investor’s liability is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>limited to the amount of the investment, a warning that the investor could lose more than the invested capital and the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</w:t>
            </w: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>xtent of such potential loss;</w:t>
            </w:r>
          </w:p>
          <w:p w14:paraId="08530DA1" w14:textId="77777777" w:rsidR="00E620A9" w:rsidRDefault="00E620A9" w:rsidP="008D7AF4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>civil liability attaches only to those persons who have tabled the summary including any translation thereof, but only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>where the summary is misleading, inaccurate or inconsistent, when read together with the other parts of the prospectus,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 xml:space="preserve">or where it does not provide, when read together with the other parts of the prospectus, key information </w:t>
            </w:r>
            <w:proofErr w:type="gramStart"/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>in order to</w:t>
            </w:r>
            <w:proofErr w:type="gramEnd"/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 xml:space="preserve"> aid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>investors when considering whether to invest in such securities;</w:t>
            </w:r>
          </w:p>
          <w:p w14:paraId="40CCEDED" w14:textId="01B19EBA" w:rsidR="00377456" w:rsidRPr="001A548B" w:rsidRDefault="00E620A9" w:rsidP="008D7AF4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 xml:space="preserve">where applicable, the comprehension alert required in accordance with point (b) of Article 8(3) of </w:t>
            </w:r>
            <w:r w:rsidR="005F5510">
              <w:rPr>
                <w:rFonts w:ascii="Arial" w:hAnsi="Arial" w:cs="Arial"/>
                <w:sz w:val="18"/>
                <w:szCs w:val="18"/>
                <w:lang w:val="en-GB"/>
              </w:rPr>
              <w:t xml:space="preserve">the PRIIPs </w:t>
            </w: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>Regulation</w:t>
            </w:r>
            <w:r w:rsidR="005F5510">
              <w:rPr>
                <w:rFonts w:ascii="Arial" w:hAnsi="Arial" w:cs="Arial"/>
                <w:sz w:val="18"/>
                <w:szCs w:val="18"/>
                <w:lang w:val="en-GB"/>
              </w:rPr>
              <w:t xml:space="preserve"> ((EU) No 1286/2014)</w:t>
            </w:r>
            <w:r w:rsidRPr="00E620A9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992" w:type="dxa"/>
          </w:tcPr>
          <w:p w14:paraId="57DE0F6F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3F315C16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7927B4A1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810BD" w:rsidRPr="006810BD" w14:paraId="512730BB" w14:textId="6C4C375D" w:rsidTr="001A548B">
        <w:trPr>
          <w:trHeight w:val="248"/>
        </w:trPr>
        <w:tc>
          <w:tcPr>
            <w:tcW w:w="717" w:type="dxa"/>
            <w:noWrap/>
            <w:hideMark/>
          </w:tcPr>
          <w:p w14:paraId="6976B079" w14:textId="217D9F43" w:rsidR="006810BD" w:rsidRPr="006810BD" w:rsidRDefault="00E620A9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4528" w:type="dxa"/>
            <w:hideMark/>
          </w:tcPr>
          <w:p w14:paraId="095D08CC" w14:textId="15B292E8" w:rsidR="006810BD" w:rsidRPr="008D7AF4" w:rsidRDefault="00E620A9" w:rsidP="006810BD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D7AF4">
              <w:rPr>
                <w:rFonts w:ascii="Arial" w:hAnsi="Arial" w:cs="Arial"/>
                <w:b/>
                <w:sz w:val="18"/>
                <w:szCs w:val="18"/>
                <w:lang w:val="en-GB"/>
              </w:rPr>
              <w:t>KEY INFORMATION ON THE ISSUER</w:t>
            </w:r>
          </w:p>
        </w:tc>
        <w:tc>
          <w:tcPr>
            <w:tcW w:w="992" w:type="dxa"/>
          </w:tcPr>
          <w:p w14:paraId="1207F421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0FE1C16C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42F4EB83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5510" w:rsidRPr="006810BD" w14:paraId="08BE7BC9" w14:textId="77777777" w:rsidTr="001A548B">
        <w:trPr>
          <w:trHeight w:val="541"/>
        </w:trPr>
        <w:tc>
          <w:tcPr>
            <w:tcW w:w="717" w:type="dxa"/>
            <w:noWrap/>
          </w:tcPr>
          <w:p w14:paraId="7DF2ABF0" w14:textId="77777777" w:rsidR="005F5510" w:rsidRDefault="005F5510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28" w:type="dxa"/>
          </w:tcPr>
          <w:p w14:paraId="61BB1364" w14:textId="01902B28" w:rsidR="005F5510" w:rsidRDefault="005F5510" w:rsidP="000B55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5510">
              <w:rPr>
                <w:rFonts w:ascii="Arial" w:hAnsi="Arial" w:cs="Arial"/>
                <w:sz w:val="18"/>
                <w:szCs w:val="18"/>
                <w:lang w:val="en-GB"/>
              </w:rPr>
              <w:t>The section referred to in point (b) of paragraph 4 shall contain the following information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992" w:type="dxa"/>
          </w:tcPr>
          <w:p w14:paraId="60E3D13F" w14:textId="77777777" w:rsidR="005F5510" w:rsidRPr="006810BD" w:rsidRDefault="005F5510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1EDF49A3" w14:textId="77777777" w:rsidR="005F5510" w:rsidRPr="006810BD" w:rsidRDefault="005F5510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7718AD55" w14:textId="77777777" w:rsidR="005F5510" w:rsidRPr="006810BD" w:rsidRDefault="005F5510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810BD" w:rsidRPr="006810BD" w14:paraId="2CB5780C" w14:textId="48FBDCD4" w:rsidTr="001A548B">
        <w:trPr>
          <w:trHeight w:val="541"/>
        </w:trPr>
        <w:tc>
          <w:tcPr>
            <w:tcW w:w="717" w:type="dxa"/>
            <w:noWrap/>
            <w:hideMark/>
          </w:tcPr>
          <w:p w14:paraId="67855FBB" w14:textId="1B20AE4C" w:rsidR="006810BD" w:rsidRPr="006810BD" w:rsidRDefault="000B5514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6 (a)</w:t>
            </w:r>
          </w:p>
        </w:tc>
        <w:tc>
          <w:tcPr>
            <w:tcW w:w="4528" w:type="dxa"/>
            <w:hideMark/>
          </w:tcPr>
          <w:p w14:paraId="0CF22333" w14:textId="77777777" w:rsidR="000B5514" w:rsidRDefault="000B5514" w:rsidP="000B55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Under</w:t>
            </w:r>
            <w:r w:rsidRPr="000B5514">
              <w:rPr>
                <w:rFonts w:ascii="Arial" w:hAnsi="Arial" w:cs="Arial"/>
                <w:sz w:val="18"/>
                <w:szCs w:val="18"/>
                <w:lang w:val="en-GB"/>
              </w:rPr>
              <w:t xml:space="preserve"> a sub-section entitled ‘Who is the issuer of the securities?’, a brief description of the issuer of the securities,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B5514">
              <w:rPr>
                <w:rFonts w:ascii="Arial" w:hAnsi="Arial" w:cs="Arial"/>
                <w:sz w:val="18"/>
                <w:szCs w:val="18"/>
                <w:lang w:val="en-GB"/>
              </w:rPr>
              <w:t>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cluding at least the following:</w:t>
            </w:r>
          </w:p>
          <w:p w14:paraId="508BCB69" w14:textId="77777777" w:rsidR="000B5514" w:rsidRDefault="000B5514" w:rsidP="000B551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B5514">
              <w:rPr>
                <w:rFonts w:ascii="Arial" w:hAnsi="Arial" w:cs="Arial"/>
                <w:sz w:val="18"/>
                <w:szCs w:val="18"/>
                <w:lang w:val="en-GB"/>
              </w:rPr>
              <w:t>its domicile and legal form, its LEI, the law under which it operates and its country of incorporation;</w:t>
            </w:r>
          </w:p>
          <w:p w14:paraId="0AB7C45A" w14:textId="77777777" w:rsidR="000B5514" w:rsidRDefault="000B5514" w:rsidP="000B551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B5514">
              <w:rPr>
                <w:rFonts w:ascii="Arial" w:hAnsi="Arial" w:cs="Arial"/>
                <w:sz w:val="18"/>
                <w:szCs w:val="18"/>
                <w:lang w:val="en-GB"/>
              </w:rPr>
              <w:t>its principal activities;</w:t>
            </w:r>
          </w:p>
          <w:p w14:paraId="2B1EDB2B" w14:textId="77777777" w:rsidR="000B5514" w:rsidRDefault="000B5514" w:rsidP="000B551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B5514">
              <w:rPr>
                <w:rFonts w:ascii="Arial" w:hAnsi="Arial" w:cs="Arial"/>
                <w:sz w:val="18"/>
                <w:szCs w:val="18"/>
                <w:lang w:val="en-GB"/>
              </w:rPr>
              <w:t>its major shareholders, including whether it is directly or indirectly owned or controlled and by whom;</w:t>
            </w:r>
          </w:p>
          <w:p w14:paraId="16669DA6" w14:textId="77777777" w:rsidR="000B5514" w:rsidRDefault="000B5514" w:rsidP="000B551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B5514">
              <w:rPr>
                <w:rFonts w:ascii="Arial" w:hAnsi="Arial" w:cs="Arial"/>
                <w:sz w:val="18"/>
                <w:szCs w:val="18"/>
                <w:lang w:val="en-GB"/>
              </w:rPr>
              <w:t>the identity of its key managing directors;</w:t>
            </w:r>
          </w:p>
          <w:p w14:paraId="02B6750F" w14:textId="68BF8538" w:rsidR="006810BD" w:rsidRPr="000B5514" w:rsidRDefault="000B5514" w:rsidP="000B551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B5514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the identity of its statutory auditors;</w:t>
            </w:r>
          </w:p>
        </w:tc>
        <w:tc>
          <w:tcPr>
            <w:tcW w:w="992" w:type="dxa"/>
          </w:tcPr>
          <w:p w14:paraId="22318E5D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6353FF3E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01537B80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810BD" w:rsidRPr="006810BD" w14:paraId="59785AAD" w14:textId="7AB57FBD" w:rsidTr="001A548B">
        <w:trPr>
          <w:trHeight w:val="3445"/>
        </w:trPr>
        <w:tc>
          <w:tcPr>
            <w:tcW w:w="717" w:type="dxa"/>
            <w:noWrap/>
            <w:hideMark/>
          </w:tcPr>
          <w:p w14:paraId="48CB35A9" w14:textId="47111385" w:rsidR="006810BD" w:rsidRPr="006810BD" w:rsidRDefault="000B5514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6 (b)</w:t>
            </w:r>
          </w:p>
        </w:tc>
        <w:tc>
          <w:tcPr>
            <w:tcW w:w="4528" w:type="dxa"/>
            <w:hideMark/>
          </w:tcPr>
          <w:p w14:paraId="736FBE43" w14:textId="77777777" w:rsidR="000B5514" w:rsidRDefault="000B5514" w:rsidP="000B55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 w:rsidRPr="000B5514">
              <w:rPr>
                <w:rFonts w:ascii="Arial" w:hAnsi="Arial" w:cs="Arial"/>
                <w:sz w:val="18"/>
                <w:szCs w:val="18"/>
                <w:lang w:val="en-GB"/>
              </w:rPr>
              <w:t>nder a sub-section entitled ‘What is the key financial information regarding the issuer?’ a selection of historical key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B5514">
              <w:rPr>
                <w:rFonts w:ascii="Arial" w:hAnsi="Arial" w:cs="Arial"/>
                <w:sz w:val="18"/>
                <w:szCs w:val="18"/>
                <w:lang w:val="en-GB"/>
              </w:rPr>
              <w:t>financial information presented for each financial year of the period covered by the historical financial information, and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B5514">
              <w:rPr>
                <w:rFonts w:ascii="Arial" w:hAnsi="Arial" w:cs="Arial"/>
                <w:sz w:val="18"/>
                <w:szCs w:val="18"/>
                <w:lang w:val="en-GB"/>
              </w:rPr>
              <w:t>any subsequent interim financial period accompanied by comparative data from the same period in the prior financial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B5514">
              <w:rPr>
                <w:rFonts w:ascii="Arial" w:hAnsi="Arial" w:cs="Arial"/>
                <w:sz w:val="18"/>
                <w:szCs w:val="18"/>
                <w:lang w:val="en-GB"/>
              </w:rPr>
              <w:t xml:space="preserve">year. </w:t>
            </w:r>
          </w:p>
          <w:p w14:paraId="28F9B0AA" w14:textId="77777777" w:rsidR="000B5514" w:rsidRDefault="000B5514" w:rsidP="000B55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96B9221" w14:textId="77777777" w:rsidR="000B5514" w:rsidRDefault="000B5514" w:rsidP="000B55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B5514">
              <w:rPr>
                <w:rFonts w:ascii="Arial" w:hAnsi="Arial" w:cs="Arial"/>
                <w:sz w:val="18"/>
                <w:szCs w:val="18"/>
                <w:lang w:val="en-GB"/>
              </w:rPr>
              <w:t>The requirement for comparative balance sheet information shall be satisfied by presenting the year-end balance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B5514">
              <w:rPr>
                <w:rFonts w:ascii="Arial" w:hAnsi="Arial" w:cs="Arial"/>
                <w:sz w:val="18"/>
                <w:szCs w:val="18"/>
                <w:lang w:val="en-GB"/>
              </w:rPr>
              <w:t xml:space="preserve">sheet information. </w:t>
            </w:r>
          </w:p>
          <w:p w14:paraId="228553CE" w14:textId="77777777" w:rsidR="000B5514" w:rsidRDefault="000B5514" w:rsidP="000B55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C284CEB" w14:textId="77777777" w:rsidR="000B5514" w:rsidRDefault="000B5514" w:rsidP="000B55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B5514">
              <w:rPr>
                <w:rFonts w:ascii="Arial" w:hAnsi="Arial" w:cs="Arial"/>
                <w:sz w:val="18"/>
                <w:szCs w:val="18"/>
                <w:lang w:val="en-GB"/>
              </w:rPr>
              <w:t>Key financial information sh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all, where applicable, include:</w:t>
            </w:r>
          </w:p>
          <w:p w14:paraId="28C2C05B" w14:textId="77777777" w:rsidR="000B5514" w:rsidRDefault="000B5514" w:rsidP="000B5514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B5514">
              <w:rPr>
                <w:rFonts w:ascii="Arial" w:hAnsi="Arial" w:cs="Arial"/>
                <w:sz w:val="18"/>
                <w:szCs w:val="18"/>
                <w:lang w:val="en-GB"/>
              </w:rPr>
              <w:t>pro forma financial information;</w:t>
            </w:r>
          </w:p>
          <w:p w14:paraId="36D661F2" w14:textId="6F72F8E1" w:rsidR="006810BD" w:rsidRPr="000B5514" w:rsidRDefault="000B5514" w:rsidP="000B5514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B5514">
              <w:rPr>
                <w:rFonts w:ascii="Arial" w:hAnsi="Arial" w:cs="Arial"/>
                <w:sz w:val="18"/>
                <w:szCs w:val="18"/>
                <w:lang w:val="en-GB"/>
              </w:rPr>
              <w:t>a brief description of any qualifications in the audit report relating to the historical financial information;</w:t>
            </w:r>
          </w:p>
        </w:tc>
        <w:tc>
          <w:tcPr>
            <w:tcW w:w="992" w:type="dxa"/>
          </w:tcPr>
          <w:p w14:paraId="48DFAF12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7D522557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1FF2763E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77456" w:rsidRPr="006810BD" w14:paraId="029B8606" w14:textId="77777777" w:rsidTr="001A548B">
        <w:trPr>
          <w:trHeight w:val="20"/>
        </w:trPr>
        <w:tc>
          <w:tcPr>
            <w:tcW w:w="717" w:type="dxa"/>
            <w:noWrap/>
          </w:tcPr>
          <w:p w14:paraId="7592BF8D" w14:textId="047B0405" w:rsidR="00377456" w:rsidRDefault="00EF3A00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RTS</w:t>
            </w:r>
          </w:p>
        </w:tc>
        <w:tc>
          <w:tcPr>
            <w:tcW w:w="4528" w:type="dxa"/>
          </w:tcPr>
          <w:p w14:paraId="19CB773E" w14:textId="6B51CBDE" w:rsidR="00377456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F3A00">
              <w:rPr>
                <w:rFonts w:ascii="Arial" w:hAnsi="Arial" w:cs="Arial"/>
                <w:sz w:val="18"/>
                <w:szCs w:val="18"/>
                <w:lang w:val="en-GB"/>
              </w:rPr>
              <w:t>ANNEX I: Non-financial entities (equity securities)</w:t>
            </w:r>
          </w:p>
        </w:tc>
        <w:tc>
          <w:tcPr>
            <w:tcW w:w="992" w:type="dxa"/>
          </w:tcPr>
          <w:p w14:paraId="2DAA321B" w14:textId="77777777" w:rsidR="00377456" w:rsidRPr="006810BD" w:rsidRDefault="00377456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75511291" w14:textId="77777777" w:rsidR="00377456" w:rsidRPr="006810BD" w:rsidRDefault="00377456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42423FEF" w14:textId="77777777" w:rsidR="00377456" w:rsidRPr="006810BD" w:rsidRDefault="00377456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F3A00" w:rsidRPr="006810BD" w14:paraId="6E85BDC6" w14:textId="77777777" w:rsidTr="001A548B">
        <w:trPr>
          <w:trHeight w:val="135"/>
        </w:trPr>
        <w:tc>
          <w:tcPr>
            <w:tcW w:w="717" w:type="dxa"/>
            <w:noWrap/>
          </w:tcPr>
          <w:p w14:paraId="7DFF4246" w14:textId="19AB665F" w:rsidR="00EF3A00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RTS</w:t>
            </w:r>
          </w:p>
        </w:tc>
        <w:tc>
          <w:tcPr>
            <w:tcW w:w="4528" w:type="dxa"/>
          </w:tcPr>
          <w:p w14:paraId="449E8079" w14:textId="17FF723C" w:rsidR="00EF3A00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F3A00">
              <w:rPr>
                <w:rFonts w:ascii="Arial" w:hAnsi="Arial" w:cs="Arial"/>
                <w:sz w:val="18"/>
                <w:szCs w:val="18"/>
                <w:lang w:val="en-GB"/>
              </w:rPr>
              <w:t>ANNEX II: Non-financial entities (non-equity securities)</w:t>
            </w:r>
          </w:p>
        </w:tc>
        <w:tc>
          <w:tcPr>
            <w:tcW w:w="992" w:type="dxa"/>
          </w:tcPr>
          <w:p w14:paraId="0FB38457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74E8C409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20B58395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F3A00" w:rsidRPr="006810BD" w14:paraId="5637B7E4" w14:textId="77777777" w:rsidTr="001A548B">
        <w:trPr>
          <w:trHeight w:val="257"/>
        </w:trPr>
        <w:tc>
          <w:tcPr>
            <w:tcW w:w="717" w:type="dxa"/>
            <w:noWrap/>
          </w:tcPr>
          <w:p w14:paraId="45DDADF9" w14:textId="70896852" w:rsidR="00EF3A00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RTS</w:t>
            </w:r>
          </w:p>
        </w:tc>
        <w:tc>
          <w:tcPr>
            <w:tcW w:w="4528" w:type="dxa"/>
          </w:tcPr>
          <w:p w14:paraId="6467FB34" w14:textId="389F0E78" w:rsidR="00EF3A00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F3A00">
              <w:rPr>
                <w:rFonts w:ascii="Arial" w:hAnsi="Arial" w:cs="Arial"/>
                <w:sz w:val="18"/>
                <w:szCs w:val="18"/>
                <w:lang w:val="en-GB"/>
              </w:rPr>
              <w:t>ANNEX III: Credit institutions (equity and non-equity securities)</w:t>
            </w:r>
          </w:p>
        </w:tc>
        <w:tc>
          <w:tcPr>
            <w:tcW w:w="992" w:type="dxa"/>
          </w:tcPr>
          <w:p w14:paraId="041CDA41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61ED935A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723AD62F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F3A00" w:rsidRPr="006810BD" w14:paraId="3AF1B6E9" w14:textId="77777777" w:rsidTr="001A548B">
        <w:trPr>
          <w:trHeight w:val="95"/>
        </w:trPr>
        <w:tc>
          <w:tcPr>
            <w:tcW w:w="717" w:type="dxa"/>
            <w:noWrap/>
          </w:tcPr>
          <w:p w14:paraId="5B8914A4" w14:textId="6ADC9B71" w:rsidR="00EF3A00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RTS</w:t>
            </w:r>
          </w:p>
        </w:tc>
        <w:tc>
          <w:tcPr>
            <w:tcW w:w="4528" w:type="dxa"/>
          </w:tcPr>
          <w:p w14:paraId="34E9C13A" w14:textId="408B3E87" w:rsidR="00EF3A00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F3A00">
              <w:rPr>
                <w:rFonts w:ascii="Arial" w:hAnsi="Arial" w:cs="Arial"/>
                <w:sz w:val="18"/>
                <w:szCs w:val="18"/>
                <w:lang w:val="en-GB"/>
              </w:rPr>
              <w:t>ANNEX IV: Insurance companies (equity and non-equity securities)</w:t>
            </w:r>
          </w:p>
        </w:tc>
        <w:tc>
          <w:tcPr>
            <w:tcW w:w="992" w:type="dxa"/>
          </w:tcPr>
          <w:p w14:paraId="06A6AC42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432B1FD1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68706579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F3A00" w:rsidRPr="006810BD" w14:paraId="261F5DCD" w14:textId="77777777" w:rsidTr="001A548B">
        <w:trPr>
          <w:trHeight w:val="203"/>
        </w:trPr>
        <w:tc>
          <w:tcPr>
            <w:tcW w:w="717" w:type="dxa"/>
            <w:noWrap/>
          </w:tcPr>
          <w:p w14:paraId="3495AA30" w14:textId="43F6FA81" w:rsidR="00EF3A00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RTS</w:t>
            </w:r>
          </w:p>
        </w:tc>
        <w:tc>
          <w:tcPr>
            <w:tcW w:w="4528" w:type="dxa"/>
          </w:tcPr>
          <w:p w14:paraId="6CAEB7FF" w14:textId="43C6091F" w:rsidR="00EF3A00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F3A00">
              <w:rPr>
                <w:rFonts w:ascii="Arial" w:hAnsi="Arial" w:cs="Arial"/>
                <w:sz w:val="18"/>
                <w:szCs w:val="18"/>
                <w:lang w:val="en-GB"/>
              </w:rPr>
              <w:t>ANNEX V: Special purpose vehicles (‘SPVs’) issuing asset backed securities</w:t>
            </w:r>
          </w:p>
        </w:tc>
        <w:tc>
          <w:tcPr>
            <w:tcW w:w="992" w:type="dxa"/>
          </w:tcPr>
          <w:p w14:paraId="05D59332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6D7CABD2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62D87C24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F3A00" w:rsidRPr="006810BD" w14:paraId="09F09A9E" w14:textId="77777777" w:rsidTr="001A548B">
        <w:trPr>
          <w:trHeight w:val="27"/>
        </w:trPr>
        <w:tc>
          <w:tcPr>
            <w:tcW w:w="717" w:type="dxa"/>
            <w:noWrap/>
          </w:tcPr>
          <w:p w14:paraId="2845FE01" w14:textId="6C07C2CD" w:rsidR="00EF3A00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RTS</w:t>
            </w:r>
          </w:p>
        </w:tc>
        <w:tc>
          <w:tcPr>
            <w:tcW w:w="4528" w:type="dxa"/>
          </w:tcPr>
          <w:p w14:paraId="202E3712" w14:textId="1814B6E3" w:rsidR="00EF3A00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F3A00">
              <w:rPr>
                <w:rFonts w:ascii="Arial" w:hAnsi="Arial" w:cs="Arial"/>
                <w:sz w:val="18"/>
                <w:szCs w:val="18"/>
                <w:lang w:val="en-GB"/>
              </w:rPr>
              <w:t>ANNEX VI: Closed end funds</w:t>
            </w:r>
          </w:p>
        </w:tc>
        <w:tc>
          <w:tcPr>
            <w:tcW w:w="992" w:type="dxa"/>
          </w:tcPr>
          <w:p w14:paraId="280364B0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253A81CA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5091F1A8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F3A00" w:rsidRPr="006810BD" w14:paraId="604F699A" w14:textId="77777777" w:rsidTr="001A548B">
        <w:trPr>
          <w:trHeight w:val="743"/>
        </w:trPr>
        <w:tc>
          <w:tcPr>
            <w:tcW w:w="717" w:type="dxa"/>
            <w:noWrap/>
          </w:tcPr>
          <w:p w14:paraId="76CA839F" w14:textId="32C3F9E1" w:rsidR="00EF3A00" w:rsidRPr="00CD5BC7" w:rsidRDefault="00EF3A00" w:rsidP="00EF3A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(c)</w:t>
            </w:r>
          </w:p>
        </w:tc>
        <w:tc>
          <w:tcPr>
            <w:tcW w:w="4528" w:type="dxa"/>
          </w:tcPr>
          <w:p w14:paraId="5228693D" w14:textId="0E7E004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 w:rsidRPr="00CD5BC7">
              <w:rPr>
                <w:rFonts w:ascii="Arial" w:hAnsi="Arial" w:cs="Arial"/>
                <w:sz w:val="18"/>
                <w:szCs w:val="18"/>
                <w:lang w:val="en-GB"/>
              </w:rPr>
              <w:t>nder a sub-section entitled ‘What are the key risks that are specific to the issuer?’ a brief description of the most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CD5BC7">
              <w:rPr>
                <w:rFonts w:ascii="Arial" w:hAnsi="Arial" w:cs="Arial"/>
                <w:sz w:val="18"/>
                <w:szCs w:val="18"/>
                <w:lang w:val="en-GB"/>
              </w:rPr>
              <w:t>material risk factors specific to the issuer contained in the prospectus, while not exceeding the total number of risk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CD5BC7">
              <w:rPr>
                <w:rFonts w:ascii="Arial" w:hAnsi="Arial" w:cs="Arial"/>
                <w:sz w:val="18"/>
                <w:szCs w:val="18"/>
                <w:lang w:val="en-GB"/>
              </w:rPr>
              <w:t>factors set out in paragraph 10.</w:t>
            </w:r>
          </w:p>
        </w:tc>
        <w:tc>
          <w:tcPr>
            <w:tcW w:w="992" w:type="dxa"/>
          </w:tcPr>
          <w:p w14:paraId="735A3A60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677E6052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764215E8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F3A00" w:rsidRPr="006810BD" w14:paraId="7234792A" w14:textId="33AEDBDA" w:rsidTr="001A548B">
        <w:trPr>
          <w:trHeight w:val="248"/>
        </w:trPr>
        <w:tc>
          <w:tcPr>
            <w:tcW w:w="717" w:type="dxa"/>
            <w:noWrap/>
            <w:hideMark/>
          </w:tcPr>
          <w:p w14:paraId="793B8FE9" w14:textId="17B9C374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4528" w:type="dxa"/>
            <w:hideMark/>
          </w:tcPr>
          <w:p w14:paraId="7D0CE184" w14:textId="695D50E9" w:rsidR="00EF3A00" w:rsidRPr="008D7AF4" w:rsidRDefault="00EF3A00" w:rsidP="00EF3A0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D7AF4">
              <w:rPr>
                <w:rFonts w:ascii="Arial" w:hAnsi="Arial" w:cs="Arial"/>
                <w:b/>
                <w:sz w:val="18"/>
                <w:szCs w:val="18"/>
                <w:lang w:val="en-GB"/>
              </w:rPr>
              <w:t>KEY INFORMATION ON THE SECURITIES</w:t>
            </w:r>
          </w:p>
        </w:tc>
        <w:tc>
          <w:tcPr>
            <w:tcW w:w="992" w:type="dxa"/>
          </w:tcPr>
          <w:p w14:paraId="2D8764F4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773D0391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5634FDEE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5510" w:rsidRPr="006810BD" w14:paraId="2E85706D" w14:textId="77777777" w:rsidTr="001A548B">
        <w:trPr>
          <w:trHeight w:val="248"/>
        </w:trPr>
        <w:tc>
          <w:tcPr>
            <w:tcW w:w="717" w:type="dxa"/>
            <w:noWrap/>
          </w:tcPr>
          <w:p w14:paraId="695D8C44" w14:textId="77777777" w:rsidR="005F5510" w:rsidRDefault="005F551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28" w:type="dxa"/>
          </w:tcPr>
          <w:p w14:paraId="44DAFF91" w14:textId="15AAA045" w:rsidR="005F5510" w:rsidRDefault="005F551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5510">
              <w:rPr>
                <w:rFonts w:ascii="Arial" w:hAnsi="Arial" w:cs="Arial"/>
                <w:sz w:val="18"/>
                <w:szCs w:val="18"/>
                <w:lang w:val="en-GB"/>
              </w:rPr>
              <w:t>The section referred to in point (c) of paragraph 4 shall contain the following information:</w:t>
            </w:r>
          </w:p>
        </w:tc>
        <w:tc>
          <w:tcPr>
            <w:tcW w:w="992" w:type="dxa"/>
          </w:tcPr>
          <w:p w14:paraId="208B48FA" w14:textId="77777777" w:rsidR="005F5510" w:rsidRPr="006810BD" w:rsidRDefault="005F551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1A7B567F" w14:textId="77777777" w:rsidR="005F5510" w:rsidRPr="006810BD" w:rsidRDefault="005F551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08B1F80B" w14:textId="77777777" w:rsidR="005F5510" w:rsidRPr="006810BD" w:rsidRDefault="005F551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F3A00" w:rsidRPr="006810BD" w14:paraId="17CA3EB4" w14:textId="49FE7518" w:rsidTr="001A548B">
        <w:trPr>
          <w:trHeight w:val="1249"/>
        </w:trPr>
        <w:tc>
          <w:tcPr>
            <w:tcW w:w="717" w:type="dxa"/>
            <w:noWrap/>
            <w:hideMark/>
          </w:tcPr>
          <w:p w14:paraId="621935F8" w14:textId="484F16BA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7 (a)</w:t>
            </w:r>
          </w:p>
        </w:tc>
        <w:tc>
          <w:tcPr>
            <w:tcW w:w="4528" w:type="dxa"/>
            <w:hideMark/>
          </w:tcPr>
          <w:p w14:paraId="1DCA7C46" w14:textId="77777777" w:rsidR="00EF3A00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 w:rsidRPr="00CD5BC7">
              <w:rPr>
                <w:rFonts w:ascii="Arial" w:hAnsi="Arial" w:cs="Arial"/>
                <w:sz w:val="18"/>
                <w:szCs w:val="18"/>
                <w:lang w:val="en-GB"/>
              </w:rPr>
              <w:t>nder a sub-section entitled ‘What are the main features of the securities?’, a brief description of the securities being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CD5BC7">
              <w:rPr>
                <w:rFonts w:ascii="Arial" w:hAnsi="Arial" w:cs="Arial"/>
                <w:sz w:val="18"/>
                <w:szCs w:val="18"/>
                <w:lang w:val="en-GB"/>
              </w:rPr>
              <w:t>offered to the public and/or admitted to trading on a regul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 market including at least:</w:t>
            </w:r>
          </w:p>
          <w:p w14:paraId="31A1696B" w14:textId="77777777" w:rsidR="00EF3A00" w:rsidRDefault="00EF3A00" w:rsidP="00EF3A0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5BC7">
              <w:rPr>
                <w:rFonts w:ascii="Arial" w:hAnsi="Arial" w:cs="Arial"/>
                <w:sz w:val="18"/>
                <w:szCs w:val="18"/>
                <w:lang w:val="en-GB"/>
              </w:rPr>
              <w:t>their type, class and ISIN;</w:t>
            </w:r>
          </w:p>
          <w:p w14:paraId="3A9F58F7" w14:textId="77777777" w:rsidR="00EF3A00" w:rsidRDefault="00EF3A00" w:rsidP="00EF3A0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5BC7">
              <w:rPr>
                <w:rFonts w:ascii="Arial" w:hAnsi="Arial" w:cs="Arial"/>
                <w:sz w:val="18"/>
                <w:szCs w:val="18"/>
                <w:lang w:val="en-GB"/>
              </w:rPr>
              <w:t>where applicable, their currency, denomination, par value, the number of securities issued and the term of the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CD5BC7">
              <w:rPr>
                <w:rFonts w:ascii="Arial" w:hAnsi="Arial" w:cs="Arial"/>
                <w:sz w:val="18"/>
                <w:szCs w:val="18"/>
                <w:lang w:val="en-GB"/>
              </w:rPr>
              <w:t>securities;</w:t>
            </w:r>
          </w:p>
          <w:p w14:paraId="52B46B83" w14:textId="77777777" w:rsidR="00EF3A00" w:rsidRDefault="00EF3A00" w:rsidP="00EF3A0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5BC7">
              <w:rPr>
                <w:rFonts w:ascii="Arial" w:hAnsi="Arial" w:cs="Arial"/>
                <w:sz w:val="18"/>
                <w:szCs w:val="18"/>
                <w:lang w:val="en-GB"/>
              </w:rPr>
              <w:t>the rights attached to the securities;</w:t>
            </w:r>
          </w:p>
          <w:p w14:paraId="3409A83C" w14:textId="1622AC0A" w:rsidR="00EF3A00" w:rsidRDefault="00EF3A00" w:rsidP="0018423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5BC7">
              <w:rPr>
                <w:rFonts w:ascii="Arial" w:hAnsi="Arial" w:cs="Arial"/>
                <w:sz w:val="18"/>
                <w:szCs w:val="18"/>
                <w:lang w:val="en-GB"/>
              </w:rPr>
              <w:t xml:space="preserve">the relative seniority of the securities in the issuer’s capital structure in the event of </w:t>
            </w:r>
            <w:r w:rsidRPr="00CD5BC7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insolvency, including, where applicable, information on the level of subordination of the securities and the potential impact on the investment 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CD5BC7">
              <w:rPr>
                <w:rFonts w:ascii="Arial" w:hAnsi="Arial" w:cs="Arial"/>
                <w:sz w:val="18"/>
                <w:szCs w:val="18"/>
                <w:lang w:val="en-GB"/>
              </w:rPr>
              <w:t xml:space="preserve">the event of a resolution under </w:t>
            </w:r>
            <w:r w:rsidR="0018423C" w:rsidRPr="0018423C">
              <w:rPr>
                <w:rFonts w:ascii="Arial" w:hAnsi="Arial" w:cs="Arial"/>
                <w:sz w:val="18"/>
                <w:szCs w:val="18"/>
                <w:lang w:val="en-GB"/>
              </w:rPr>
              <w:t>the UK law which implemented</w:t>
            </w:r>
            <w:r w:rsidR="0018423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D86318">
              <w:rPr>
                <w:rFonts w:ascii="Arial" w:hAnsi="Arial" w:cs="Arial"/>
                <w:sz w:val="18"/>
                <w:szCs w:val="18"/>
                <w:lang w:val="en-GB"/>
              </w:rPr>
              <w:t>the RRD (</w:t>
            </w:r>
            <w:r w:rsidRPr="00CD5BC7">
              <w:rPr>
                <w:rFonts w:ascii="Arial" w:hAnsi="Arial" w:cs="Arial"/>
                <w:sz w:val="18"/>
                <w:szCs w:val="18"/>
                <w:lang w:val="en-GB"/>
              </w:rPr>
              <w:t>Directive 2014/59/EU</w:t>
            </w:r>
            <w:r w:rsidR="00D8631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Pr="00CD5BC7">
              <w:rPr>
                <w:rFonts w:ascii="Arial" w:hAnsi="Arial" w:cs="Arial"/>
                <w:sz w:val="18"/>
                <w:szCs w:val="18"/>
                <w:lang w:val="en-GB"/>
              </w:rPr>
              <w:t>;</w:t>
            </w:r>
          </w:p>
          <w:p w14:paraId="0DB753B4" w14:textId="77777777" w:rsidR="00EF3A00" w:rsidRDefault="00EF3A00" w:rsidP="00EF3A0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5BC7">
              <w:rPr>
                <w:rFonts w:ascii="Arial" w:hAnsi="Arial" w:cs="Arial"/>
                <w:sz w:val="18"/>
                <w:szCs w:val="18"/>
                <w:lang w:val="en-GB"/>
              </w:rPr>
              <w:t>any restrictions on the free transferability of the securities;</w:t>
            </w:r>
          </w:p>
          <w:p w14:paraId="7C3852B7" w14:textId="6A6A5E7A" w:rsidR="00EF3A00" w:rsidRPr="00CD5BC7" w:rsidRDefault="00EF3A00" w:rsidP="00EF3A0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5BC7">
              <w:rPr>
                <w:rFonts w:ascii="Arial" w:hAnsi="Arial" w:cs="Arial"/>
                <w:sz w:val="18"/>
                <w:szCs w:val="18"/>
                <w:lang w:val="en-GB"/>
              </w:rPr>
              <w:t xml:space="preserve">where applicable, the dividend or </w:t>
            </w:r>
            <w:proofErr w:type="spellStart"/>
            <w:r w:rsidRPr="00CD5BC7">
              <w:rPr>
                <w:rFonts w:ascii="Arial" w:hAnsi="Arial" w:cs="Arial"/>
                <w:sz w:val="18"/>
                <w:szCs w:val="18"/>
                <w:lang w:val="en-GB"/>
              </w:rPr>
              <w:t>payout</w:t>
            </w:r>
            <w:proofErr w:type="spellEnd"/>
            <w:r w:rsidRPr="00CD5BC7">
              <w:rPr>
                <w:rFonts w:ascii="Arial" w:hAnsi="Arial" w:cs="Arial"/>
                <w:sz w:val="18"/>
                <w:szCs w:val="18"/>
                <w:lang w:val="en-GB"/>
              </w:rPr>
              <w:t xml:space="preserve"> policy;</w:t>
            </w:r>
          </w:p>
        </w:tc>
        <w:tc>
          <w:tcPr>
            <w:tcW w:w="992" w:type="dxa"/>
          </w:tcPr>
          <w:p w14:paraId="1DA917A2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0322321C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41DEE732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F3A00" w:rsidRPr="006810BD" w14:paraId="5F262F1C" w14:textId="77777777" w:rsidTr="001A548B">
        <w:trPr>
          <w:trHeight w:val="720"/>
        </w:trPr>
        <w:tc>
          <w:tcPr>
            <w:tcW w:w="717" w:type="dxa"/>
            <w:noWrap/>
          </w:tcPr>
          <w:p w14:paraId="16FF9F2B" w14:textId="51B3FD20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7 (b)</w:t>
            </w:r>
          </w:p>
        </w:tc>
        <w:tc>
          <w:tcPr>
            <w:tcW w:w="4528" w:type="dxa"/>
          </w:tcPr>
          <w:p w14:paraId="6789E1CD" w14:textId="242296F3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 w:rsidRPr="009848D0">
              <w:rPr>
                <w:rFonts w:ascii="Arial" w:hAnsi="Arial" w:cs="Arial"/>
                <w:sz w:val="18"/>
                <w:szCs w:val="18"/>
                <w:lang w:val="en-GB"/>
              </w:rPr>
              <w:t>nder a sub-section entitled ‘Where will the securities be traded?’, an indication as to whether the securities are or will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9848D0">
              <w:rPr>
                <w:rFonts w:ascii="Arial" w:hAnsi="Arial" w:cs="Arial"/>
                <w:sz w:val="18"/>
                <w:szCs w:val="18"/>
                <w:lang w:val="en-GB"/>
              </w:rPr>
              <w:t>be subject to an application for admission to trading on a regulated market or for trading on an MTF and the identity of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9848D0">
              <w:rPr>
                <w:rFonts w:ascii="Arial" w:hAnsi="Arial" w:cs="Arial"/>
                <w:sz w:val="18"/>
                <w:szCs w:val="18"/>
                <w:lang w:val="en-GB"/>
              </w:rPr>
              <w:t>all the markets where the securities are or are to be traded;</w:t>
            </w:r>
          </w:p>
        </w:tc>
        <w:tc>
          <w:tcPr>
            <w:tcW w:w="992" w:type="dxa"/>
          </w:tcPr>
          <w:p w14:paraId="2FA8639E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6A027EAF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7CC2FB0D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F3A00" w:rsidRPr="006810BD" w14:paraId="169F9C62" w14:textId="77777777" w:rsidTr="001A548B">
        <w:trPr>
          <w:trHeight w:val="3561"/>
        </w:trPr>
        <w:tc>
          <w:tcPr>
            <w:tcW w:w="717" w:type="dxa"/>
            <w:noWrap/>
          </w:tcPr>
          <w:p w14:paraId="4324C1AD" w14:textId="05BB39A3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7 (c) </w:t>
            </w:r>
          </w:p>
        </w:tc>
        <w:tc>
          <w:tcPr>
            <w:tcW w:w="4528" w:type="dxa"/>
          </w:tcPr>
          <w:p w14:paraId="13E706F5" w14:textId="77777777" w:rsidR="00EF3A00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W</w:t>
            </w:r>
            <w:r w:rsidRPr="009848D0">
              <w:rPr>
                <w:rFonts w:ascii="Arial" w:hAnsi="Arial" w:cs="Arial"/>
                <w:sz w:val="18"/>
                <w:szCs w:val="18"/>
                <w:lang w:val="en-GB"/>
              </w:rPr>
              <w:t>here there is a guarantee attached to the securities, under a sub-section entitled ‘Is there a guarantee attached to the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9848D0">
              <w:rPr>
                <w:rFonts w:ascii="Arial" w:hAnsi="Arial" w:cs="Arial"/>
                <w:sz w:val="18"/>
                <w:szCs w:val="18"/>
                <w:lang w:val="en-GB"/>
              </w:rPr>
              <w:t>securitie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s?’, the following information:</w:t>
            </w:r>
          </w:p>
          <w:p w14:paraId="0B29F74E" w14:textId="77777777" w:rsidR="00EF3A00" w:rsidRDefault="00EF3A00" w:rsidP="00EF3A0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48D0">
              <w:rPr>
                <w:rFonts w:ascii="Arial" w:hAnsi="Arial" w:cs="Arial"/>
                <w:sz w:val="18"/>
                <w:szCs w:val="18"/>
                <w:lang w:val="en-GB"/>
              </w:rPr>
              <w:t>a brief description of the nature and scope of the guarantee;</w:t>
            </w:r>
          </w:p>
          <w:p w14:paraId="1ABCD752" w14:textId="77777777" w:rsidR="00EF3A00" w:rsidRDefault="00EF3A00" w:rsidP="00EF3A0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48D0">
              <w:rPr>
                <w:rFonts w:ascii="Arial" w:hAnsi="Arial" w:cs="Arial"/>
                <w:sz w:val="18"/>
                <w:szCs w:val="18"/>
                <w:lang w:val="en-GB"/>
              </w:rPr>
              <w:t>a brief description of the guarantor, including its LEI;</w:t>
            </w:r>
          </w:p>
          <w:p w14:paraId="2CCBFA4F" w14:textId="77777777" w:rsidR="00EF3A00" w:rsidRDefault="00EF3A00" w:rsidP="00EF3A0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48D0">
              <w:rPr>
                <w:rFonts w:ascii="Arial" w:hAnsi="Arial" w:cs="Arial"/>
                <w:sz w:val="18"/>
                <w:szCs w:val="18"/>
                <w:lang w:val="en-GB"/>
              </w:rPr>
              <w:t xml:space="preserve">the relevant key financial information </w:t>
            </w:r>
            <w:proofErr w:type="gramStart"/>
            <w:r w:rsidRPr="009848D0">
              <w:rPr>
                <w:rFonts w:ascii="Arial" w:hAnsi="Arial" w:cs="Arial"/>
                <w:sz w:val="18"/>
                <w:szCs w:val="18"/>
                <w:lang w:val="en-GB"/>
              </w:rPr>
              <w:t>for the purpose of</w:t>
            </w:r>
            <w:proofErr w:type="gramEnd"/>
            <w:r w:rsidRPr="009848D0">
              <w:rPr>
                <w:rFonts w:ascii="Arial" w:hAnsi="Arial" w:cs="Arial"/>
                <w:sz w:val="18"/>
                <w:szCs w:val="18"/>
                <w:lang w:val="en-GB"/>
              </w:rPr>
              <w:t xml:space="preserve"> assessing the guarantor’s ability to fulfil its commitments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9848D0">
              <w:rPr>
                <w:rFonts w:ascii="Arial" w:hAnsi="Arial" w:cs="Arial"/>
                <w:sz w:val="18"/>
                <w:szCs w:val="18"/>
                <w:lang w:val="en-GB"/>
              </w:rPr>
              <w:t>under the guarantee; and</w:t>
            </w:r>
          </w:p>
          <w:p w14:paraId="7426EA34" w14:textId="4313DD05" w:rsidR="00EF3A00" w:rsidRPr="001A548B" w:rsidRDefault="00EF3A00" w:rsidP="001A548B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48D0">
              <w:rPr>
                <w:rFonts w:ascii="Arial" w:hAnsi="Arial" w:cs="Arial"/>
                <w:sz w:val="18"/>
                <w:szCs w:val="18"/>
                <w:lang w:val="en-GB"/>
              </w:rPr>
              <w:t>a brief description of the most material risk factors pertaining to the guarantor contained in the prospectus</w:t>
            </w:r>
            <w:r w:rsidR="006F7609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="006F7609" w:rsidRPr="00B75CE6">
              <w:rPr>
                <w:rFonts w:ascii="Arial" w:hAnsi="Arial" w:cs="Arial"/>
                <w:sz w:val="18"/>
                <w:szCs w:val="18"/>
                <w:lang w:val="en-GB"/>
              </w:rPr>
              <w:t xml:space="preserve"> in</w:t>
            </w:r>
            <w:r w:rsidR="006F760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F7609" w:rsidRPr="00BD0FD1">
              <w:rPr>
                <w:rFonts w:ascii="Arial" w:hAnsi="Arial" w:cs="Arial"/>
                <w:sz w:val="18"/>
                <w:szCs w:val="18"/>
                <w:lang w:val="en-GB"/>
              </w:rPr>
              <w:t xml:space="preserve">accordance with Article 16(3), while not exceeding the total number of risk </w:t>
            </w:r>
            <w:r w:rsidR="006F7609">
              <w:rPr>
                <w:rFonts w:ascii="Arial" w:hAnsi="Arial" w:cs="Arial"/>
                <w:sz w:val="18"/>
                <w:szCs w:val="18"/>
                <w:lang w:val="en-GB"/>
              </w:rPr>
              <w:t>factors set out in paragraph 10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992" w:type="dxa"/>
          </w:tcPr>
          <w:p w14:paraId="13F3BD5C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08B43EA1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05D34F8E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F3A00" w:rsidRPr="006810BD" w14:paraId="4EC5266C" w14:textId="77777777" w:rsidTr="001A548B">
        <w:trPr>
          <w:trHeight w:val="1009"/>
        </w:trPr>
        <w:tc>
          <w:tcPr>
            <w:tcW w:w="717" w:type="dxa"/>
            <w:noWrap/>
          </w:tcPr>
          <w:p w14:paraId="4D4C2798" w14:textId="79B68D62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7 (d)</w:t>
            </w:r>
          </w:p>
        </w:tc>
        <w:tc>
          <w:tcPr>
            <w:tcW w:w="4528" w:type="dxa"/>
          </w:tcPr>
          <w:p w14:paraId="7D97E288" w14:textId="25F2E5D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 w:rsidRPr="009848D0">
              <w:rPr>
                <w:rFonts w:ascii="Arial" w:hAnsi="Arial" w:cs="Arial"/>
                <w:sz w:val="18"/>
                <w:szCs w:val="18"/>
                <w:lang w:val="en-GB"/>
              </w:rPr>
              <w:t>nder a sub-section entitled ‘What are the key risks that are specific to the securities?’, a brief description of the most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9848D0">
              <w:rPr>
                <w:rFonts w:ascii="Arial" w:hAnsi="Arial" w:cs="Arial"/>
                <w:sz w:val="18"/>
                <w:szCs w:val="18"/>
                <w:lang w:val="en-GB"/>
              </w:rPr>
              <w:t>material risk factors specific to the securities contained in the prospectus, while not exceeding the total number of risk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9848D0">
              <w:rPr>
                <w:rFonts w:ascii="Arial" w:hAnsi="Arial" w:cs="Arial"/>
                <w:sz w:val="18"/>
                <w:szCs w:val="18"/>
                <w:lang w:val="en-GB"/>
              </w:rPr>
              <w:t>factors set out in paragraph 10.</w:t>
            </w:r>
          </w:p>
        </w:tc>
        <w:tc>
          <w:tcPr>
            <w:tcW w:w="992" w:type="dxa"/>
          </w:tcPr>
          <w:p w14:paraId="46DA8653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485FEF00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2360AC77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F3A00" w:rsidRPr="006810BD" w14:paraId="4B885E7F" w14:textId="1F583BF6" w:rsidTr="001A548B">
        <w:trPr>
          <w:trHeight w:val="859"/>
        </w:trPr>
        <w:tc>
          <w:tcPr>
            <w:tcW w:w="717" w:type="dxa"/>
            <w:noWrap/>
            <w:hideMark/>
          </w:tcPr>
          <w:p w14:paraId="44D43B8F" w14:textId="5386756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4528" w:type="dxa"/>
            <w:hideMark/>
          </w:tcPr>
          <w:p w14:paraId="1CFDB152" w14:textId="3E584D82" w:rsidR="00EF3A00" w:rsidRPr="008D7AF4" w:rsidRDefault="00EF3A00" w:rsidP="00EF3A0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bookmarkStart w:id="0" w:name="_GoBack"/>
            <w:r w:rsidRPr="008D7AF4">
              <w:rPr>
                <w:rFonts w:ascii="Arial" w:hAnsi="Arial" w:cs="Arial"/>
                <w:b/>
                <w:sz w:val="18"/>
                <w:szCs w:val="18"/>
                <w:lang w:val="en-GB"/>
              </w:rPr>
              <w:t>KEY INFORMATION ON THE OFFER OF SECURITIES TO THE PUBLIC AND/OR THE ADMISSION TO TRADING ON A REGULATED MARKET</w:t>
            </w:r>
            <w:bookmarkEnd w:id="0"/>
          </w:p>
        </w:tc>
        <w:tc>
          <w:tcPr>
            <w:tcW w:w="992" w:type="dxa"/>
          </w:tcPr>
          <w:p w14:paraId="3CE6AEC0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76631575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17011B32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86318" w:rsidRPr="006810BD" w14:paraId="5B220BF1" w14:textId="77777777" w:rsidTr="001A548B">
        <w:trPr>
          <w:trHeight w:val="859"/>
        </w:trPr>
        <w:tc>
          <w:tcPr>
            <w:tcW w:w="717" w:type="dxa"/>
            <w:noWrap/>
          </w:tcPr>
          <w:p w14:paraId="74A75C1D" w14:textId="77777777" w:rsidR="00D86318" w:rsidRDefault="00D86318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28" w:type="dxa"/>
          </w:tcPr>
          <w:p w14:paraId="5385BD9E" w14:textId="2589A212" w:rsidR="00D86318" w:rsidRDefault="00D86318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AF4">
              <w:rPr>
                <w:rFonts w:ascii="Arial" w:hAnsi="Arial" w:cs="Arial"/>
                <w:color w:val="333333"/>
                <w:sz w:val="18"/>
                <w:szCs w:val="21"/>
                <w:lang w:val="en"/>
              </w:rPr>
              <w:t>The section referred to in point (d) of paragraph 4 shall contain the following information:</w:t>
            </w:r>
          </w:p>
        </w:tc>
        <w:tc>
          <w:tcPr>
            <w:tcW w:w="992" w:type="dxa"/>
          </w:tcPr>
          <w:p w14:paraId="4CC8449E" w14:textId="77777777" w:rsidR="00D86318" w:rsidRPr="006810BD" w:rsidRDefault="00D86318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39FD42A8" w14:textId="77777777" w:rsidR="00D86318" w:rsidRPr="006810BD" w:rsidRDefault="00D86318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43F2F807" w14:textId="77777777" w:rsidR="00D86318" w:rsidRPr="006810BD" w:rsidRDefault="00D86318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F3A00" w:rsidRPr="006810BD" w14:paraId="2A6465AD" w14:textId="207D03F0" w:rsidTr="001A548B">
        <w:trPr>
          <w:trHeight w:val="248"/>
        </w:trPr>
        <w:tc>
          <w:tcPr>
            <w:tcW w:w="717" w:type="dxa"/>
            <w:noWrap/>
            <w:hideMark/>
          </w:tcPr>
          <w:p w14:paraId="499E0175" w14:textId="50EDAE86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8 (a)</w:t>
            </w:r>
          </w:p>
        </w:tc>
        <w:tc>
          <w:tcPr>
            <w:tcW w:w="4528" w:type="dxa"/>
            <w:hideMark/>
          </w:tcPr>
          <w:p w14:paraId="4DAABEBE" w14:textId="1622F6BA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 w:rsidRPr="00377456">
              <w:rPr>
                <w:rFonts w:ascii="Arial" w:hAnsi="Arial" w:cs="Arial"/>
                <w:sz w:val="18"/>
                <w:szCs w:val="18"/>
                <w:lang w:val="en-GB"/>
              </w:rPr>
              <w:t>nder a sub-section entitled ‘Under which conditions and timetable can I invest in this security?’, where applicable, the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77456">
              <w:rPr>
                <w:rFonts w:ascii="Arial" w:hAnsi="Arial" w:cs="Arial"/>
                <w:sz w:val="18"/>
                <w:szCs w:val="18"/>
                <w:lang w:val="en-GB"/>
              </w:rPr>
              <w:t>general terms, conditions and expected timetable of the offer, the details of the admission to trading on a regulated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77456">
              <w:rPr>
                <w:rFonts w:ascii="Arial" w:hAnsi="Arial" w:cs="Arial"/>
                <w:sz w:val="18"/>
                <w:szCs w:val="18"/>
                <w:lang w:val="en-GB"/>
              </w:rPr>
              <w:t>market, the plan for distribution, the amount and percentage of immediate dilution resulting from the offer and an</w:t>
            </w:r>
            <w:r w:rsidR="00D8631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77456">
              <w:rPr>
                <w:rFonts w:ascii="Arial" w:hAnsi="Arial" w:cs="Arial"/>
                <w:sz w:val="18"/>
                <w:szCs w:val="18"/>
                <w:lang w:val="en-GB"/>
              </w:rPr>
              <w:t>estimate of the total expenses of the issue and/or offer, including estimated expenses charged to the investor by the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77456">
              <w:rPr>
                <w:rFonts w:ascii="Arial" w:hAnsi="Arial" w:cs="Arial"/>
                <w:sz w:val="18"/>
                <w:szCs w:val="18"/>
                <w:lang w:val="en-GB"/>
              </w:rPr>
              <w:t xml:space="preserve">issuer or the </w:t>
            </w:r>
            <w:r w:rsidRPr="00377456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offeror;</w:t>
            </w:r>
          </w:p>
        </w:tc>
        <w:tc>
          <w:tcPr>
            <w:tcW w:w="992" w:type="dxa"/>
          </w:tcPr>
          <w:p w14:paraId="1631ED65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40FE4A79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770CDF8E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F3A00" w:rsidRPr="006810BD" w14:paraId="5DB03297" w14:textId="43E954D4" w:rsidTr="001A548B">
        <w:trPr>
          <w:trHeight w:val="495"/>
        </w:trPr>
        <w:tc>
          <w:tcPr>
            <w:tcW w:w="717" w:type="dxa"/>
            <w:noWrap/>
            <w:hideMark/>
          </w:tcPr>
          <w:p w14:paraId="689D71D7" w14:textId="358AE549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8 (b)</w:t>
            </w:r>
          </w:p>
        </w:tc>
        <w:tc>
          <w:tcPr>
            <w:tcW w:w="4528" w:type="dxa"/>
            <w:hideMark/>
          </w:tcPr>
          <w:p w14:paraId="7B2536B2" w14:textId="5D923F31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Pr="00377456">
              <w:rPr>
                <w:rFonts w:ascii="Arial" w:hAnsi="Arial" w:cs="Arial"/>
                <w:sz w:val="18"/>
                <w:szCs w:val="18"/>
                <w:lang w:val="en-GB"/>
              </w:rPr>
              <w:t>f different from the issuer, under a sub-section entitled ‘Who is the offeror and/or the person asking for admission to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77456">
              <w:rPr>
                <w:rFonts w:ascii="Arial" w:hAnsi="Arial" w:cs="Arial"/>
                <w:sz w:val="18"/>
                <w:szCs w:val="18"/>
                <w:lang w:val="en-GB"/>
              </w:rPr>
              <w:t>trading?’, a brief description of the offeror of the securities and/or the person asking for admission to trading on 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77456">
              <w:rPr>
                <w:rFonts w:ascii="Arial" w:hAnsi="Arial" w:cs="Arial"/>
                <w:sz w:val="18"/>
                <w:szCs w:val="18"/>
                <w:lang w:val="en-GB"/>
              </w:rPr>
              <w:t>regulated market, including its domicile and legal form, the law under which it operates and its country of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77456">
              <w:rPr>
                <w:rFonts w:ascii="Arial" w:hAnsi="Arial" w:cs="Arial"/>
                <w:sz w:val="18"/>
                <w:szCs w:val="18"/>
                <w:lang w:val="en-GB"/>
              </w:rPr>
              <w:t>incorporation;</w:t>
            </w:r>
          </w:p>
        </w:tc>
        <w:tc>
          <w:tcPr>
            <w:tcW w:w="992" w:type="dxa"/>
          </w:tcPr>
          <w:p w14:paraId="34DD76BD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06E4E4B6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696827CC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F3A00" w:rsidRPr="006810BD" w14:paraId="43C70A21" w14:textId="5BCBB4B2" w:rsidTr="001A548B">
        <w:trPr>
          <w:trHeight w:val="495"/>
        </w:trPr>
        <w:tc>
          <w:tcPr>
            <w:tcW w:w="717" w:type="dxa"/>
            <w:noWrap/>
            <w:hideMark/>
          </w:tcPr>
          <w:p w14:paraId="4B91A24C" w14:textId="28EB9516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8 (c)</w:t>
            </w:r>
          </w:p>
        </w:tc>
        <w:tc>
          <w:tcPr>
            <w:tcW w:w="4528" w:type="dxa"/>
            <w:hideMark/>
          </w:tcPr>
          <w:p w14:paraId="24A827B8" w14:textId="77777777" w:rsidR="00EF3A00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 w:rsidRPr="00377456">
              <w:rPr>
                <w:rFonts w:ascii="Arial" w:hAnsi="Arial" w:cs="Arial"/>
                <w:sz w:val="18"/>
                <w:szCs w:val="18"/>
                <w:lang w:val="en-GB"/>
              </w:rPr>
              <w:t>nder a sub-section entitled ‘Why is this prospectus being produced?’, a brief description of the reasons for the offer 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77456">
              <w:rPr>
                <w:rFonts w:ascii="Arial" w:hAnsi="Arial" w:cs="Arial"/>
                <w:sz w:val="18"/>
                <w:szCs w:val="18"/>
                <w:lang w:val="en-GB"/>
              </w:rPr>
              <w:t>for the admission to trading on a regulated market, as well as,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where applicable:</w:t>
            </w:r>
          </w:p>
          <w:p w14:paraId="7A1CCD19" w14:textId="77777777" w:rsidR="00EF3A00" w:rsidRDefault="00EF3A00" w:rsidP="00EF3A0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7456">
              <w:rPr>
                <w:rFonts w:ascii="Arial" w:hAnsi="Arial" w:cs="Arial"/>
                <w:sz w:val="18"/>
                <w:szCs w:val="18"/>
                <w:lang w:val="en-GB"/>
              </w:rPr>
              <w:t>the use and estimated net amount of the proceeds;</w:t>
            </w:r>
          </w:p>
          <w:p w14:paraId="4E397E9C" w14:textId="77777777" w:rsidR="00EF3A00" w:rsidRDefault="00EF3A00" w:rsidP="00EF3A0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7456">
              <w:rPr>
                <w:rFonts w:ascii="Arial" w:hAnsi="Arial" w:cs="Arial"/>
                <w:sz w:val="18"/>
                <w:szCs w:val="18"/>
                <w:lang w:val="en-GB"/>
              </w:rPr>
              <w:t>an indication of whether the offer is subject to an underwriting agreement on a firm commitment basis, stating any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77456">
              <w:rPr>
                <w:rFonts w:ascii="Arial" w:hAnsi="Arial" w:cs="Arial"/>
                <w:sz w:val="18"/>
                <w:szCs w:val="18"/>
                <w:lang w:val="en-GB"/>
              </w:rPr>
              <w:t>portion not covered;</w:t>
            </w:r>
          </w:p>
          <w:p w14:paraId="2D0C167A" w14:textId="726E7B4C" w:rsidR="00EF3A00" w:rsidRPr="00377456" w:rsidRDefault="00EF3A00" w:rsidP="00EF3A0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7456">
              <w:rPr>
                <w:rFonts w:ascii="Arial" w:hAnsi="Arial" w:cs="Arial"/>
                <w:sz w:val="18"/>
                <w:szCs w:val="18"/>
                <w:lang w:val="en-GB"/>
              </w:rPr>
              <w:t>an indication of the most material conflicts of interest pertaining to the offer or the admission to trading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992" w:type="dxa"/>
          </w:tcPr>
          <w:p w14:paraId="2054F0EB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68E0DAF1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30DFE69C" w14:textId="77777777" w:rsidR="00EF3A00" w:rsidRPr="006810BD" w:rsidRDefault="00EF3A00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A548B" w:rsidRPr="006810BD" w14:paraId="1B8DD334" w14:textId="77777777" w:rsidTr="001A548B">
        <w:trPr>
          <w:trHeight w:val="495"/>
        </w:trPr>
        <w:tc>
          <w:tcPr>
            <w:tcW w:w="717" w:type="dxa"/>
            <w:noWrap/>
          </w:tcPr>
          <w:p w14:paraId="0769EC05" w14:textId="308ADBEF" w:rsidR="001A548B" w:rsidRDefault="00023F3F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</w:t>
            </w:r>
          </w:p>
        </w:tc>
        <w:tc>
          <w:tcPr>
            <w:tcW w:w="4528" w:type="dxa"/>
          </w:tcPr>
          <w:p w14:paraId="0590349E" w14:textId="7E80B08F" w:rsidR="001A548B" w:rsidRDefault="00023F3F" w:rsidP="00023F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23F3F">
              <w:rPr>
                <w:rFonts w:ascii="Arial" w:hAnsi="Arial" w:cs="Arial"/>
                <w:sz w:val="18"/>
                <w:szCs w:val="18"/>
                <w:lang w:val="en-GB"/>
              </w:rPr>
              <w:t>The total number of risk factors included in the sections of the summary referred to in point (c) of paragraph 6 and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23F3F">
              <w:rPr>
                <w:rFonts w:ascii="Arial" w:hAnsi="Arial" w:cs="Arial"/>
                <w:sz w:val="18"/>
                <w:szCs w:val="18"/>
                <w:lang w:val="en-GB"/>
              </w:rPr>
              <w:t>point (c)(iv) and point (d) of the first subparagraph of paragraph 7 shall not exceed 15.</w:t>
            </w:r>
          </w:p>
        </w:tc>
        <w:tc>
          <w:tcPr>
            <w:tcW w:w="992" w:type="dxa"/>
          </w:tcPr>
          <w:p w14:paraId="083F38BD" w14:textId="77777777" w:rsidR="001A548B" w:rsidRPr="006810BD" w:rsidRDefault="001A548B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7C706BFF" w14:textId="77777777" w:rsidR="001A548B" w:rsidRPr="006810BD" w:rsidRDefault="001A548B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7FEBFE75" w14:textId="77777777" w:rsidR="001A548B" w:rsidRPr="006810BD" w:rsidRDefault="001A548B" w:rsidP="00EF3A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EFE9CBF" w14:textId="77777777" w:rsidR="00EF3807" w:rsidRPr="00EF3807" w:rsidRDefault="00EF3807" w:rsidP="006810BD"/>
    <w:sectPr w:rsidR="00EF3807" w:rsidRPr="00EF3807" w:rsidSect="006810BD">
      <w:footerReference w:type="default" r:id="rId10"/>
      <w:pgSz w:w="11910" w:h="16840"/>
      <w:pgMar w:top="1120" w:right="460" w:bottom="1180" w:left="46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F732D" w14:textId="77777777" w:rsidR="00E21984" w:rsidRDefault="00E21984">
      <w:r>
        <w:separator/>
      </w:r>
    </w:p>
  </w:endnote>
  <w:endnote w:type="continuationSeparator" w:id="0">
    <w:p w14:paraId="2FA7F2DB" w14:textId="77777777" w:rsidR="00E21984" w:rsidRDefault="00E2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12309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F3B4905" w14:textId="330C1E2F" w:rsidR="00E620A9" w:rsidRPr="006810BD" w:rsidRDefault="00E620A9">
        <w:pPr>
          <w:pStyle w:val="Footer"/>
          <w:rPr>
            <w:rFonts w:ascii="Arial" w:hAnsi="Arial" w:cs="Arial"/>
            <w:sz w:val="20"/>
            <w:szCs w:val="20"/>
          </w:rPr>
        </w:pPr>
        <w:r w:rsidRPr="006810BD">
          <w:rPr>
            <w:rFonts w:ascii="Arial" w:hAnsi="Arial" w:cs="Arial"/>
            <w:sz w:val="20"/>
            <w:szCs w:val="20"/>
          </w:rPr>
          <w:fldChar w:fldCharType="begin"/>
        </w:r>
        <w:r w:rsidRPr="006810B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810BD">
          <w:rPr>
            <w:rFonts w:ascii="Arial" w:hAnsi="Arial" w:cs="Arial"/>
            <w:sz w:val="20"/>
            <w:szCs w:val="20"/>
          </w:rPr>
          <w:fldChar w:fldCharType="separate"/>
        </w:r>
        <w:r w:rsidR="008D7AF4">
          <w:rPr>
            <w:rFonts w:ascii="Arial" w:hAnsi="Arial" w:cs="Arial"/>
            <w:noProof/>
            <w:sz w:val="20"/>
            <w:szCs w:val="20"/>
          </w:rPr>
          <w:t>5</w:t>
        </w:r>
        <w:r w:rsidRPr="006810BD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6810BD">
          <w:rPr>
            <w:rFonts w:ascii="Arial" w:hAnsi="Arial" w:cs="Arial"/>
            <w:noProof/>
            <w:sz w:val="20"/>
            <w:szCs w:val="20"/>
          </w:rPr>
          <w:tab/>
        </w:r>
        <w:r w:rsidRPr="006810BD">
          <w:rPr>
            <w:rFonts w:ascii="Arial" w:hAnsi="Arial" w:cs="Arial"/>
            <w:noProof/>
            <w:sz w:val="20"/>
            <w:szCs w:val="20"/>
          </w:rPr>
          <w:tab/>
        </w:r>
        <w:r w:rsidRPr="006810BD">
          <w:rPr>
            <w:rFonts w:ascii="Arial" w:hAnsi="Arial" w:cs="Arial"/>
            <w:noProof/>
            <w:sz w:val="20"/>
            <w:szCs w:val="20"/>
          </w:rPr>
          <w:tab/>
        </w:r>
        <w:r w:rsidR="00260CA3">
          <w:rPr>
            <w:rFonts w:ascii="Arial" w:hAnsi="Arial" w:cs="Arial"/>
            <w:noProof/>
            <w:sz w:val="20"/>
            <w:szCs w:val="20"/>
          </w:rPr>
          <w:t xml:space="preserve">January </w:t>
        </w:r>
        <w:r w:rsidR="002B47A2">
          <w:rPr>
            <w:rFonts w:ascii="Arial" w:hAnsi="Arial" w:cs="Arial"/>
            <w:noProof/>
            <w:sz w:val="20"/>
            <w:szCs w:val="20"/>
          </w:rPr>
          <w:t>202</w:t>
        </w:r>
        <w:r w:rsidR="00260CA3">
          <w:rPr>
            <w:rFonts w:ascii="Arial" w:hAnsi="Arial" w:cs="Arial"/>
            <w:noProof/>
            <w:sz w:val="20"/>
            <w:szCs w:val="20"/>
          </w:rPr>
          <w:t>1</w:t>
        </w:r>
      </w:p>
    </w:sdtContent>
  </w:sdt>
  <w:p w14:paraId="1B0B16B1" w14:textId="0DFF8919" w:rsidR="00E620A9" w:rsidRPr="006810BD" w:rsidRDefault="00E620A9">
    <w:pPr>
      <w:pStyle w:val="BodyText"/>
      <w:spacing w:line="14" w:lineRule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57CDC" w14:textId="77777777" w:rsidR="00E21984" w:rsidRDefault="00E21984">
      <w:r>
        <w:separator/>
      </w:r>
    </w:p>
  </w:footnote>
  <w:footnote w:type="continuationSeparator" w:id="0">
    <w:p w14:paraId="4B714B2E" w14:textId="77777777" w:rsidR="00E21984" w:rsidRDefault="00E2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34D4"/>
    <w:multiLevelType w:val="hybridMultilevel"/>
    <w:tmpl w:val="493E1D70"/>
    <w:lvl w:ilvl="0" w:tplc="71C8A74A">
      <w:start w:val="1"/>
      <w:numFmt w:val="lowerLetter"/>
      <w:lvlText w:val="(%1)"/>
      <w:lvlJc w:val="left"/>
      <w:pPr>
        <w:ind w:left="950" w:hanging="84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407408B"/>
    <w:multiLevelType w:val="hybridMultilevel"/>
    <w:tmpl w:val="9CFAA804"/>
    <w:lvl w:ilvl="0" w:tplc="18BC60FA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D3C45FE">
      <w:numFmt w:val="bullet"/>
      <w:lvlText w:val="•"/>
      <w:lvlJc w:val="left"/>
      <w:pPr>
        <w:ind w:left="1610" w:hanging="850"/>
      </w:pPr>
      <w:rPr>
        <w:rFonts w:hint="default"/>
      </w:rPr>
    </w:lvl>
    <w:lvl w:ilvl="2" w:tplc="8FE6EEB6">
      <w:numFmt w:val="bullet"/>
      <w:lvlText w:val="•"/>
      <w:lvlJc w:val="left"/>
      <w:pPr>
        <w:ind w:left="2261" w:hanging="850"/>
      </w:pPr>
      <w:rPr>
        <w:rFonts w:hint="default"/>
      </w:rPr>
    </w:lvl>
    <w:lvl w:ilvl="3" w:tplc="4AE25230">
      <w:numFmt w:val="bullet"/>
      <w:lvlText w:val="•"/>
      <w:lvlJc w:val="left"/>
      <w:pPr>
        <w:ind w:left="2911" w:hanging="850"/>
      </w:pPr>
      <w:rPr>
        <w:rFonts w:hint="default"/>
      </w:rPr>
    </w:lvl>
    <w:lvl w:ilvl="4" w:tplc="729E8956">
      <w:numFmt w:val="bullet"/>
      <w:lvlText w:val="•"/>
      <w:lvlJc w:val="left"/>
      <w:pPr>
        <w:ind w:left="3562" w:hanging="850"/>
      </w:pPr>
      <w:rPr>
        <w:rFonts w:hint="default"/>
      </w:rPr>
    </w:lvl>
    <w:lvl w:ilvl="5" w:tplc="1F9C2638">
      <w:numFmt w:val="bullet"/>
      <w:lvlText w:val="•"/>
      <w:lvlJc w:val="left"/>
      <w:pPr>
        <w:ind w:left="4212" w:hanging="850"/>
      </w:pPr>
      <w:rPr>
        <w:rFonts w:hint="default"/>
      </w:rPr>
    </w:lvl>
    <w:lvl w:ilvl="6" w:tplc="A6105270">
      <w:numFmt w:val="bullet"/>
      <w:lvlText w:val="•"/>
      <w:lvlJc w:val="left"/>
      <w:pPr>
        <w:ind w:left="4863" w:hanging="850"/>
      </w:pPr>
      <w:rPr>
        <w:rFonts w:hint="default"/>
      </w:rPr>
    </w:lvl>
    <w:lvl w:ilvl="7" w:tplc="128CE9EC">
      <w:numFmt w:val="bullet"/>
      <w:lvlText w:val="•"/>
      <w:lvlJc w:val="left"/>
      <w:pPr>
        <w:ind w:left="5513" w:hanging="850"/>
      </w:pPr>
      <w:rPr>
        <w:rFonts w:hint="default"/>
      </w:rPr>
    </w:lvl>
    <w:lvl w:ilvl="8" w:tplc="C3A88950">
      <w:numFmt w:val="bullet"/>
      <w:lvlText w:val="•"/>
      <w:lvlJc w:val="left"/>
      <w:pPr>
        <w:ind w:left="6164" w:hanging="850"/>
      </w:pPr>
      <w:rPr>
        <w:rFonts w:hint="default"/>
      </w:rPr>
    </w:lvl>
  </w:abstractNum>
  <w:abstractNum w:abstractNumId="2" w15:restartNumberingAfterBreak="0">
    <w:nsid w:val="07917902"/>
    <w:multiLevelType w:val="hybridMultilevel"/>
    <w:tmpl w:val="0BE6D0F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F57"/>
    <w:multiLevelType w:val="hybridMultilevel"/>
    <w:tmpl w:val="93885EE6"/>
    <w:lvl w:ilvl="0" w:tplc="FE1AD0FE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24E0FA10">
      <w:numFmt w:val="bullet"/>
      <w:lvlText w:val="•"/>
      <w:lvlJc w:val="left"/>
      <w:pPr>
        <w:ind w:left="1610" w:hanging="850"/>
      </w:pPr>
      <w:rPr>
        <w:rFonts w:hint="default"/>
      </w:rPr>
    </w:lvl>
    <w:lvl w:ilvl="2" w:tplc="C420847E">
      <w:numFmt w:val="bullet"/>
      <w:lvlText w:val="•"/>
      <w:lvlJc w:val="left"/>
      <w:pPr>
        <w:ind w:left="2261" w:hanging="850"/>
      </w:pPr>
      <w:rPr>
        <w:rFonts w:hint="default"/>
      </w:rPr>
    </w:lvl>
    <w:lvl w:ilvl="3" w:tplc="6A747A2A">
      <w:numFmt w:val="bullet"/>
      <w:lvlText w:val="•"/>
      <w:lvlJc w:val="left"/>
      <w:pPr>
        <w:ind w:left="2911" w:hanging="850"/>
      </w:pPr>
      <w:rPr>
        <w:rFonts w:hint="default"/>
      </w:rPr>
    </w:lvl>
    <w:lvl w:ilvl="4" w:tplc="411E6EA2">
      <w:numFmt w:val="bullet"/>
      <w:lvlText w:val="•"/>
      <w:lvlJc w:val="left"/>
      <w:pPr>
        <w:ind w:left="3562" w:hanging="850"/>
      </w:pPr>
      <w:rPr>
        <w:rFonts w:hint="default"/>
      </w:rPr>
    </w:lvl>
    <w:lvl w:ilvl="5" w:tplc="C6380C28">
      <w:numFmt w:val="bullet"/>
      <w:lvlText w:val="•"/>
      <w:lvlJc w:val="left"/>
      <w:pPr>
        <w:ind w:left="4212" w:hanging="850"/>
      </w:pPr>
      <w:rPr>
        <w:rFonts w:hint="default"/>
      </w:rPr>
    </w:lvl>
    <w:lvl w:ilvl="6" w:tplc="ACC6A4F8">
      <w:numFmt w:val="bullet"/>
      <w:lvlText w:val="•"/>
      <w:lvlJc w:val="left"/>
      <w:pPr>
        <w:ind w:left="4863" w:hanging="850"/>
      </w:pPr>
      <w:rPr>
        <w:rFonts w:hint="default"/>
      </w:rPr>
    </w:lvl>
    <w:lvl w:ilvl="7" w:tplc="491C337A">
      <w:numFmt w:val="bullet"/>
      <w:lvlText w:val="•"/>
      <w:lvlJc w:val="left"/>
      <w:pPr>
        <w:ind w:left="5513" w:hanging="850"/>
      </w:pPr>
      <w:rPr>
        <w:rFonts w:hint="default"/>
      </w:rPr>
    </w:lvl>
    <w:lvl w:ilvl="8" w:tplc="57281AD6">
      <w:numFmt w:val="bullet"/>
      <w:lvlText w:val="•"/>
      <w:lvlJc w:val="left"/>
      <w:pPr>
        <w:ind w:left="6164" w:hanging="850"/>
      </w:pPr>
      <w:rPr>
        <w:rFonts w:hint="default"/>
      </w:rPr>
    </w:lvl>
  </w:abstractNum>
  <w:abstractNum w:abstractNumId="4" w15:restartNumberingAfterBreak="0">
    <w:nsid w:val="10FA73D0"/>
    <w:multiLevelType w:val="hybridMultilevel"/>
    <w:tmpl w:val="AA1ECF5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9044A"/>
    <w:multiLevelType w:val="hybridMultilevel"/>
    <w:tmpl w:val="596E45E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F645B"/>
    <w:multiLevelType w:val="hybridMultilevel"/>
    <w:tmpl w:val="A6BC25EA"/>
    <w:lvl w:ilvl="0" w:tplc="042C7084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D68E875E">
      <w:numFmt w:val="bullet"/>
      <w:lvlText w:val="•"/>
      <w:lvlJc w:val="left"/>
      <w:pPr>
        <w:ind w:left="1611" w:hanging="850"/>
      </w:pPr>
      <w:rPr>
        <w:rFonts w:hint="default"/>
      </w:rPr>
    </w:lvl>
    <w:lvl w:ilvl="2" w:tplc="C5C00C40">
      <w:numFmt w:val="bullet"/>
      <w:lvlText w:val="•"/>
      <w:lvlJc w:val="left"/>
      <w:pPr>
        <w:ind w:left="2262" w:hanging="850"/>
      </w:pPr>
      <w:rPr>
        <w:rFonts w:hint="default"/>
      </w:rPr>
    </w:lvl>
    <w:lvl w:ilvl="3" w:tplc="77883FB6">
      <w:numFmt w:val="bullet"/>
      <w:lvlText w:val="•"/>
      <w:lvlJc w:val="left"/>
      <w:pPr>
        <w:ind w:left="2913" w:hanging="850"/>
      </w:pPr>
      <w:rPr>
        <w:rFonts w:hint="default"/>
      </w:rPr>
    </w:lvl>
    <w:lvl w:ilvl="4" w:tplc="8EDE46B6">
      <w:numFmt w:val="bullet"/>
      <w:lvlText w:val="•"/>
      <w:lvlJc w:val="left"/>
      <w:pPr>
        <w:ind w:left="3564" w:hanging="850"/>
      </w:pPr>
      <w:rPr>
        <w:rFonts w:hint="default"/>
      </w:rPr>
    </w:lvl>
    <w:lvl w:ilvl="5" w:tplc="27DC8B00">
      <w:numFmt w:val="bullet"/>
      <w:lvlText w:val="•"/>
      <w:lvlJc w:val="left"/>
      <w:pPr>
        <w:ind w:left="4215" w:hanging="850"/>
      </w:pPr>
      <w:rPr>
        <w:rFonts w:hint="default"/>
      </w:rPr>
    </w:lvl>
    <w:lvl w:ilvl="6" w:tplc="1F64A7A8">
      <w:numFmt w:val="bullet"/>
      <w:lvlText w:val="•"/>
      <w:lvlJc w:val="left"/>
      <w:pPr>
        <w:ind w:left="4866" w:hanging="850"/>
      </w:pPr>
      <w:rPr>
        <w:rFonts w:hint="default"/>
      </w:rPr>
    </w:lvl>
    <w:lvl w:ilvl="7" w:tplc="5FF6CDF0">
      <w:numFmt w:val="bullet"/>
      <w:lvlText w:val="•"/>
      <w:lvlJc w:val="left"/>
      <w:pPr>
        <w:ind w:left="5517" w:hanging="850"/>
      </w:pPr>
      <w:rPr>
        <w:rFonts w:hint="default"/>
      </w:rPr>
    </w:lvl>
    <w:lvl w:ilvl="8" w:tplc="2F9CFCC6">
      <w:numFmt w:val="bullet"/>
      <w:lvlText w:val="•"/>
      <w:lvlJc w:val="left"/>
      <w:pPr>
        <w:ind w:left="6168" w:hanging="850"/>
      </w:pPr>
      <w:rPr>
        <w:rFonts w:hint="default"/>
      </w:rPr>
    </w:lvl>
  </w:abstractNum>
  <w:abstractNum w:abstractNumId="7" w15:restartNumberingAfterBreak="0">
    <w:nsid w:val="18B74D6B"/>
    <w:multiLevelType w:val="hybridMultilevel"/>
    <w:tmpl w:val="8BBAC346"/>
    <w:lvl w:ilvl="0" w:tplc="C6901480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</w:rPr>
    </w:lvl>
    <w:lvl w:ilvl="1" w:tplc="B1ACB14C">
      <w:numFmt w:val="bullet"/>
      <w:lvlText w:val="•"/>
      <w:lvlJc w:val="left"/>
      <w:pPr>
        <w:ind w:left="1611" w:hanging="850"/>
      </w:pPr>
      <w:rPr>
        <w:rFonts w:hint="default"/>
      </w:rPr>
    </w:lvl>
    <w:lvl w:ilvl="2" w:tplc="48764C56">
      <w:numFmt w:val="bullet"/>
      <w:lvlText w:val="•"/>
      <w:lvlJc w:val="left"/>
      <w:pPr>
        <w:ind w:left="2262" w:hanging="850"/>
      </w:pPr>
      <w:rPr>
        <w:rFonts w:hint="default"/>
      </w:rPr>
    </w:lvl>
    <w:lvl w:ilvl="3" w:tplc="0E4021DC">
      <w:numFmt w:val="bullet"/>
      <w:lvlText w:val="•"/>
      <w:lvlJc w:val="left"/>
      <w:pPr>
        <w:ind w:left="2913" w:hanging="850"/>
      </w:pPr>
      <w:rPr>
        <w:rFonts w:hint="default"/>
      </w:rPr>
    </w:lvl>
    <w:lvl w:ilvl="4" w:tplc="64F0D752">
      <w:numFmt w:val="bullet"/>
      <w:lvlText w:val="•"/>
      <w:lvlJc w:val="left"/>
      <w:pPr>
        <w:ind w:left="3564" w:hanging="850"/>
      </w:pPr>
      <w:rPr>
        <w:rFonts w:hint="default"/>
      </w:rPr>
    </w:lvl>
    <w:lvl w:ilvl="5" w:tplc="E78A40A0">
      <w:numFmt w:val="bullet"/>
      <w:lvlText w:val="•"/>
      <w:lvlJc w:val="left"/>
      <w:pPr>
        <w:ind w:left="4215" w:hanging="850"/>
      </w:pPr>
      <w:rPr>
        <w:rFonts w:hint="default"/>
      </w:rPr>
    </w:lvl>
    <w:lvl w:ilvl="6" w:tplc="CC0C8DD0">
      <w:numFmt w:val="bullet"/>
      <w:lvlText w:val="•"/>
      <w:lvlJc w:val="left"/>
      <w:pPr>
        <w:ind w:left="4866" w:hanging="850"/>
      </w:pPr>
      <w:rPr>
        <w:rFonts w:hint="default"/>
      </w:rPr>
    </w:lvl>
    <w:lvl w:ilvl="7" w:tplc="E63895E8">
      <w:numFmt w:val="bullet"/>
      <w:lvlText w:val="•"/>
      <w:lvlJc w:val="left"/>
      <w:pPr>
        <w:ind w:left="5517" w:hanging="850"/>
      </w:pPr>
      <w:rPr>
        <w:rFonts w:hint="default"/>
      </w:rPr>
    </w:lvl>
    <w:lvl w:ilvl="8" w:tplc="7F160AB6">
      <w:numFmt w:val="bullet"/>
      <w:lvlText w:val="•"/>
      <w:lvlJc w:val="left"/>
      <w:pPr>
        <w:ind w:left="6168" w:hanging="850"/>
      </w:pPr>
      <w:rPr>
        <w:rFonts w:hint="default"/>
      </w:rPr>
    </w:lvl>
  </w:abstractNum>
  <w:abstractNum w:abstractNumId="8" w15:restartNumberingAfterBreak="0">
    <w:nsid w:val="18ED751D"/>
    <w:multiLevelType w:val="hybridMultilevel"/>
    <w:tmpl w:val="7B08628A"/>
    <w:lvl w:ilvl="0" w:tplc="C94E590A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6582A232">
      <w:numFmt w:val="bullet"/>
      <w:lvlText w:val="•"/>
      <w:lvlJc w:val="left"/>
      <w:pPr>
        <w:ind w:left="1611" w:hanging="850"/>
      </w:pPr>
      <w:rPr>
        <w:rFonts w:hint="default"/>
      </w:rPr>
    </w:lvl>
    <w:lvl w:ilvl="2" w:tplc="C4D831EC">
      <w:numFmt w:val="bullet"/>
      <w:lvlText w:val="•"/>
      <w:lvlJc w:val="left"/>
      <w:pPr>
        <w:ind w:left="2262" w:hanging="850"/>
      </w:pPr>
      <w:rPr>
        <w:rFonts w:hint="default"/>
      </w:rPr>
    </w:lvl>
    <w:lvl w:ilvl="3" w:tplc="B280800E">
      <w:numFmt w:val="bullet"/>
      <w:lvlText w:val="•"/>
      <w:lvlJc w:val="left"/>
      <w:pPr>
        <w:ind w:left="2913" w:hanging="850"/>
      </w:pPr>
      <w:rPr>
        <w:rFonts w:hint="default"/>
      </w:rPr>
    </w:lvl>
    <w:lvl w:ilvl="4" w:tplc="FDB80B18">
      <w:numFmt w:val="bullet"/>
      <w:lvlText w:val="•"/>
      <w:lvlJc w:val="left"/>
      <w:pPr>
        <w:ind w:left="3564" w:hanging="850"/>
      </w:pPr>
      <w:rPr>
        <w:rFonts w:hint="default"/>
      </w:rPr>
    </w:lvl>
    <w:lvl w:ilvl="5" w:tplc="03DA1078">
      <w:numFmt w:val="bullet"/>
      <w:lvlText w:val="•"/>
      <w:lvlJc w:val="left"/>
      <w:pPr>
        <w:ind w:left="4215" w:hanging="850"/>
      </w:pPr>
      <w:rPr>
        <w:rFonts w:hint="default"/>
      </w:rPr>
    </w:lvl>
    <w:lvl w:ilvl="6" w:tplc="41CA30C4">
      <w:numFmt w:val="bullet"/>
      <w:lvlText w:val="•"/>
      <w:lvlJc w:val="left"/>
      <w:pPr>
        <w:ind w:left="4866" w:hanging="850"/>
      </w:pPr>
      <w:rPr>
        <w:rFonts w:hint="default"/>
      </w:rPr>
    </w:lvl>
    <w:lvl w:ilvl="7" w:tplc="32A2D43C">
      <w:numFmt w:val="bullet"/>
      <w:lvlText w:val="•"/>
      <w:lvlJc w:val="left"/>
      <w:pPr>
        <w:ind w:left="5517" w:hanging="850"/>
      </w:pPr>
      <w:rPr>
        <w:rFonts w:hint="default"/>
      </w:rPr>
    </w:lvl>
    <w:lvl w:ilvl="8" w:tplc="B8EA946A">
      <w:numFmt w:val="bullet"/>
      <w:lvlText w:val="•"/>
      <w:lvlJc w:val="left"/>
      <w:pPr>
        <w:ind w:left="6168" w:hanging="850"/>
      </w:pPr>
      <w:rPr>
        <w:rFonts w:hint="default"/>
      </w:rPr>
    </w:lvl>
  </w:abstractNum>
  <w:abstractNum w:abstractNumId="9" w15:restartNumberingAfterBreak="0">
    <w:nsid w:val="1DCF485B"/>
    <w:multiLevelType w:val="hybridMultilevel"/>
    <w:tmpl w:val="41D297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76B6E"/>
    <w:multiLevelType w:val="hybridMultilevel"/>
    <w:tmpl w:val="B0067716"/>
    <w:lvl w:ilvl="0" w:tplc="7DBE80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147EC"/>
    <w:multiLevelType w:val="hybridMultilevel"/>
    <w:tmpl w:val="C74AF7A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EC0354"/>
    <w:multiLevelType w:val="hybridMultilevel"/>
    <w:tmpl w:val="A3B84F72"/>
    <w:lvl w:ilvl="0" w:tplc="45FA1D30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106C7736">
      <w:numFmt w:val="bullet"/>
      <w:lvlText w:val="•"/>
      <w:lvlJc w:val="left"/>
      <w:pPr>
        <w:ind w:left="1610" w:hanging="850"/>
      </w:pPr>
      <w:rPr>
        <w:rFonts w:hint="default"/>
      </w:rPr>
    </w:lvl>
    <w:lvl w:ilvl="2" w:tplc="BFE08CA2">
      <w:numFmt w:val="bullet"/>
      <w:lvlText w:val="•"/>
      <w:lvlJc w:val="left"/>
      <w:pPr>
        <w:ind w:left="2261" w:hanging="850"/>
      </w:pPr>
      <w:rPr>
        <w:rFonts w:hint="default"/>
      </w:rPr>
    </w:lvl>
    <w:lvl w:ilvl="3" w:tplc="A5E23CFC">
      <w:numFmt w:val="bullet"/>
      <w:lvlText w:val="•"/>
      <w:lvlJc w:val="left"/>
      <w:pPr>
        <w:ind w:left="2911" w:hanging="850"/>
      </w:pPr>
      <w:rPr>
        <w:rFonts w:hint="default"/>
      </w:rPr>
    </w:lvl>
    <w:lvl w:ilvl="4" w:tplc="E10ADD5E">
      <w:numFmt w:val="bullet"/>
      <w:lvlText w:val="•"/>
      <w:lvlJc w:val="left"/>
      <w:pPr>
        <w:ind w:left="3562" w:hanging="850"/>
      </w:pPr>
      <w:rPr>
        <w:rFonts w:hint="default"/>
      </w:rPr>
    </w:lvl>
    <w:lvl w:ilvl="5" w:tplc="08481B4E">
      <w:numFmt w:val="bullet"/>
      <w:lvlText w:val="•"/>
      <w:lvlJc w:val="left"/>
      <w:pPr>
        <w:ind w:left="4212" w:hanging="850"/>
      </w:pPr>
      <w:rPr>
        <w:rFonts w:hint="default"/>
      </w:rPr>
    </w:lvl>
    <w:lvl w:ilvl="6" w:tplc="C1B0210A">
      <w:numFmt w:val="bullet"/>
      <w:lvlText w:val="•"/>
      <w:lvlJc w:val="left"/>
      <w:pPr>
        <w:ind w:left="4863" w:hanging="850"/>
      </w:pPr>
      <w:rPr>
        <w:rFonts w:hint="default"/>
      </w:rPr>
    </w:lvl>
    <w:lvl w:ilvl="7" w:tplc="BE729198">
      <w:numFmt w:val="bullet"/>
      <w:lvlText w:val="•"/>
      <w:lvlJc w:val="left"/>
      <w:pPr>
        <w:ind w:left="5513" w:hanging="850"/>
      </w:pPr>
      <w:rPr>
        <w:rFonts w:hint="default"/>
      </w:rPr>
    </w:lvl>
    <w:lvl w:ilvl="8" w:tplc="F948E640">
      <w:numFmt w:val="bullet"/>
      <w:lvlText w:val="•"/>
      <w:lvlJc w:val="left"/>
      <w:pPr>
        <w:ind w:left="6164" w:hanging="850"/>
      </w:pPr>
      <w:rPr>
        <w:rFonts w:hint="default"/>
      </w:rPr>
    </w:lvl>
  </w:abstractNum>
  <w:abstractNum w:abstractNumId="13" w15:restartNumberingAfterBreak="0">
    <w:nsid w:val="2611253E"/>
    <w:multiLevelType w:val="hybridMultilevel"/>
    <w:tmpl w:val="0C6267F6"/>
    <w:lvl w:ilvl="0" w:tplc="AF2A6E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A59D0"/>
    <w:multiLevelType w:val="hybridMultilevel"/>
    <w:tmpl w:val="B08C6734"/>
    <w:lvl w:ilvl="0" w:tplc="433482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A50F4"/>
    <w:multiLevelType w:val="hybridMultilevel"/>
    <w:tmpl w:val="B9800F40"/>
    <w:lvl w:ilvl="0" w:tplc="52FC0B02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B2701E04">
      <w:numFmt w:val="bullet"/>
      <w:lvlText w:val="•"/>
      <w:lvlJc w:val="left"/>
      <w:pPr>
        <w:ind w:left="1611" w:hanging="850"/>
      </w:pPr>
      <w:rPr>
        <w:rFonts w:hint="default"/>
      </w:rPr>
    </w:lvl>
    <w:lvl w:ilvl="2" w:tplc="EBDACCCE">
      <w:numFmt w:val="bullet"/>
      <w:lvlText w:val="•"/>
      <w:lvlJc w:val="left"/>
      <w:pPr>
        <w:ind w:left="2262" w:hanging="850"/>
      </w:pPr>
      <w:rPr>
        <w:rFonts w:hint="default"/>
      </w:rPr>
    </w:lvl>
    <w:lvl w:ilvl="3" w:tplc="9D12370E">
      <w:numFmt w:val="bullet"/>
      <w:lvlText w:val="•"/>
      <w:lvlJc w:val="left"/>
      <w:pPr>
        <w:ind w:left="2913" w:hanging="850"/>
      </w:pPr>
      <w:rPr>
        <w:rFonts w:hint="default"/>
      </w:rPr>
    </w:lvl>
    <w:lvl w:ilvl="4" w:tplc="87925322">
      <w:numFmt w:val="bullet"/>
      <w:lvlText w:val="•"/>
      <w:lvlJc w:val="left"/>
      <w:pPr>
        <w:ind w:left="3564" w:hanging="850"/>
      </w:pPr>
      <w:rPr>
        <w:rFonts w:hint="default"/>
      </w:rPr>
    </w:lvl>
    <w:lvl w:ilvl="5" w:tplc="917E0930">
      <w:numFmt w:val="bullet"/>
      <w:lvlText w:val="•"/>
      <w:lvlJc w:val="left"/>
      <w:pPr>
        <w:ind w:left="4215" w:hanging="850"/>
      </w:pPr>
      <w:rPr>
        <w:rFonts w:hint="default"/>
      </w:rPr>
    </w:lvl>
    <w:lvl w:ilvl="6" w:tplc="BE18471C">
      <w:numFmt w:val="bullet"/>
      <w:lvlText w:val="•"/>
      <w:lvlJc w:val="left"/>
      <w:pPr>
        <w:ind w:left="4866" w:hanging="850"/>
      </w:pPr>
      <w:rPr>
        <w:rFonts w:hint="default"/>
      </w:rPr>
    </w:lvl>
    <w:lvl w:ilvl="7" w:tplc="91A85F14">
      <w:numFmt w:val="bullet"/>
      <w:lvlText w:val="•"/>
      <w:lvlJc w:val="left"/>
      <w:pPr>
        <w:ind w:left="5517" w:hanging="850"/>
      </w:pPr>
      <w:rPr>
        <w:rFonts w:hint="default"/>
      </w:rPr>
    </w:lvl>
    <w:lvl w:ilvl="8" w:tplc="1EF892AE">
      <w:numFmt w:val="bullet"/>
      <w:lvlText w:val="•"/>
      <w:lvlJc w:val="left"/>
      <w:pPr>
        <w:ind w:left="6168" w:hanging="850"/>
      </w:pPr>
      <w:rPr>
        <w:rFonts w:hint="default"/>
      </w:rPr>
    </w:lvl>
  </w:abstractNum>
  <w:abstractNum w:abstractNumId="16" w15:restartNumberingAfterBreak="0">
    <w:nsid w:val="3035243D"/>
    <w:multiLevelType w:val="hybridMultilevel"/>
    <w:tmpl w:val="E1A4CE1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FE6188"/>
    <w:multiLevelType w:val="hybridMultilevel"/>
    <w:tmpl w:val="EFC02D5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5E5FCD"/>
    <w:multiLevelType w:val="hybridMultilevel"/>
    <w:tmpl w:val="27E62D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75080"/>
    <w:multiLevelType w:val="hybridMultilevel"/>
    <w:tmpl w:val="F7E4AB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A04B4"/>
    <w:multiLevelType w:val="hybridMultilevel"/>
    <w:tmpl w:val="45426AA6"/>
    <w:lvl w:ilvl="0" w:tplc="BDA01A90">
      <w:start w:val="2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6C768366">
      <w:numFmt w:val="bullet"/>
      <w:lvlText w:val="•"/>
      <w:lvlJc w:val="left"/>
      <w:pPr>
        <w:ind w:left="1611" w:hanging="850"/>
      </w:pPr>
      <w:rPr>
        <w:rFonts w:hint="default"/>
      </w:rPr>
    </w:lvl>
    <w:lvl w:ilvl="2" w:tplc="81BCA918">
      <w:numFmt w:val="bullet"/>
      <w:lvlText w:val="•"/>
      <w:lvlJc w:val="left"/>
      <w:pPr>
        <w:ind w:left="2262" w:hanging="850"/>
      </w:pPr>
      <w:rPr>
        <w:rFonts w:hint="default"/>
      </w:rPr>
    </w:lvl>
    <w:lvl w:ilvl="3" w:tplc="7938CDA8">
      <w:numFmt w:val="bullet"/>
      <w:lvlText w:val="•"/>
      <w:lvlJc w:val="left"/>
      <w:pPr>
        <w:ind w:left="2913" w:hanging="850"/>
      </w:pPr>
      <w:rPr>
        <w:rFonts w:hint="default"/>
      </w:rPr>
    </w:lvl>
    <w:lvl w:ilvl="4" w:tplc="54B8B0A2">
      <w:numFmt w:val="bullet"/>
      <w:lvlText w:val="•"/>
      <w:lvlJc w:val="left"/>
      <w:pPr>
        <w:ind w:left="3564" w:hanging="850"/>
      </w:pPr>
      <w:rPr>
        <w:rFonts w:hint="default"/>
      </w:rPr>
    </w:lvl>
    <w:lvl w:ilvl="5" w:tplc="A712D53E">
      <w:numFmt w:val="bullet"/>
      <w:lvlText w:val="•"/>
      <w:lvlJc w:val="left"/>
      <w:pPr>
        <w:ind w:left="4215" w:hanging="850"/>
      </w:pPr>
      <w:rPr>
        <w:rFonts w:hint="default"/>
      </w:rPr>
    </w:lvl>
    <w:lvl w:ilvl="6" w:tplc="47E0E928">
      <w:numFmt w:val="bullet"/>
      <w:lvlText w:val="•"/>
      <w:lvlJc w:val="left"/>
      <w:pPr>
        <w:ind w:left="4866" w:hanging="850"/>
      </w:pPr>
      <w:rPr>
        <w:rFonts w:hint="default"/>
      </w:rPr>
    </w:lvl>
    <w:lvl w:ilvl="7" w:tplc="49BAE17C">
      <w:numFmt w:val="bullet"/>
      <w:lvlText w:val="•"/>
      <w:lvlJc w:val="left"/>
      <w:pPr>
        <w:ind w:left="5517" w:hanging="850"/>
      </w:pPr>
      <w:rPr>
        <w:rFonts w:hint="default"/>
      </w:rPr>
    </w:lvl>
    <w:lvl w:ilvl="8" w:tplc="1350452E">
      <w:numFmt w:val="bullet"/>
      <w:lvlText w:val="•"/>
      <w:lvlJc w:val="left"/>
      <w:pPr>
        <w:ind w:left="6168" w:hanging="850"/>
      </w:pPr>
      <w:rPr>
        <w:rFonts w:hint="default"/>
      </w:rPr>
    </w:lvl>
  </w:abstractNum>
  <w:abstractNum w:abstractNumId="21" w15:restartNumberingAfterBreak="0">
    <w:nsid w:val="40D435F8"/>
    <w:multiLevelType w:val="hybridMultilevel"/>
    <w:tmpl w:val="767861A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37727C"/>
    <w:multiLevelType w:val="hybridMultilevel"/>
    <w:tmpl w:val="A0F0A986"/>
    <w:lvl w:ilvl="0" w:tplc="EBEEBED4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6F5A4C58">
      <w:numFmt w:val="bullet"/>
      <w:lvlText w:val="•"/>
      <w:lvlJc w:val="left"/>
      <w:pPr>
        <w:ind w:left="1610" w:hanging="850"/>
      </w:pPr>
      <w:rPr>
        <w:rFonts w:hint="default"/>
      </w:rPr>
    </w:lvl>
    <w:lvl w:ilvl="2" w:tplc="4D66A2C6">
      <w:numFmt w:val="bullet"/>
      <w:lvlText w:val="•"/>
      <w:lvlJc w:val="left"/>
      <w:pPr>
        <w:ind w:left="2261" w:hanging="850"/>
      </w:pPr>
      <w:rPr>
        <w:rFonts w:hint="default"/>
      </w:rPr>
    </w:lvl>
    <w:lvl w:ilvl="3" w:tplc="10FAA500">
      <w:numFmt w:val="bullet"/>
      <w:lvlText w:val="•"/>
      <w:lvlJc w:val="left"/>
      <w:pPr>
        <w:ind w:left="2911" w:hanging="850"/>
      </w:pPr>
      <w:rPr>
        <w:rFonts w:hint="default"/>
      </w:rPr>
    </w:lvl>
    <w:lvl w:ilvl="4" w:tplc="843EC424">
      <w:numFmt w:val="bullet"/>
      <w:lvlText w:val="•"/>
      <w:lvlJc w:val="left"/>
      <w:pPr>
        <w:ind w:left="3562" w:hanging="850"/>
      </w:pPr>
      <w:rPr>
        <w:rFonts w:hint="default"/>
      </w:rPr>
    </w:lvl>
    <w:lvl w:ilvl="5" w:tplc="42DC4AF2">
      <w:numFmt w:val="bullet"/>
      <w:lvlText w:val="•"/>
      <w:lvlJc w:val="left"/>
      <w:pPr>
        <w:ind w:left="4212" w:hanging="850"/>
      </w:pPr>
      <w:rPr>
        <w:rFonts w:hint="default"/>
      </w:rPr>
    </w:lvl>
    <w:lvl w:ilvl="6" w:tplc="96AA9E94">
      <w:numFmt w:val="bullet"/>
      <w:lvlText w:val="•"/>
      <w:lvlJc w:val="left"/>
      <w:pPr>
        <w:ind w:left="4863" w:hanging="850"/>
      </w:pPr>
      <w:rPr>
        <w:rFonts w:hint="default"/>
      </w:rPr>
    </w:lvl>
    <w:lvl w:ilvl="7" w:tplc="3F446B4A">
      <w:numFmt w:val="bullet"/>
      <w:lvlText w:val="•"/>
      <w:lvlJc w:val="left"/>
      <w:pPr>
        <w:ind w:left="5513" w:hanging="850"/>
      </w:pPr>
      <w:rPr>
        <w:rFonts w:hint="default"/>
      </w:rPr>
    </w:lvl>
    <w:lvl w:ilvl="8" w:tplc="5852BAFA">
      <w:numFmt w:val="bullet"/>
      <w:lvlText w:val="•"/>
      <w:lvlJc w:val="left"/>
      <w:pPr>
        <w:ind w:left="6164" w:hanging="850"/>
      </w:pPr>
      <w:rPr>
        <w:rFonts w:hint="default"/>
      </w:rPr>
    </w:lvl>
  </w:abstractNum>
  <w:abstractNum w:abstractNumId="23" w15:restartNumberingAfterBreak="0">
    <w:nsid w:val="433C05FA"/>
    <w:multiLevelType w:val="hybridMultilevel"/>
    <w:tmpl w:val="0E005D46"/>
    <w:lvl w:ilvl="0" w:tplc="08090017">
      <w:start w:val="1"/>
      <w:numFmt w:val="lowerLetter"/>
      <w:lvlText w:val="%1)"/>
      <w:lvlJc w:val="left"/>
      <w:pPr>
        <w:ind w:left="462" w:hanging="360"/>
      </w:p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4" w15:restartNumberingAfterBreak="0">
    <w:nsid w:val="43537D15"/>
    <w:multiLevelType w:val="hybridMultilevel"/>
    <w:tmpl w:val="AED6B5F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AB396D"/>
    <w:multiLevelType w:val="hybridMultilevel"/>
    <w:tmpl w:val="85B03E7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E227C"/>
    <w:multiLevelType w:val="hybridMultilevel"/>
    <w:tmpl w:val="3B3E393C"/>
    <w:lvl w:ilvl="0" w:tplc="E5E64B7E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4443"/>
    <w:multiLevelType w:val="hybridMultilevel"/>
    <w:tmpl w:val="DE82BE68"/>
    <w:lvl w:ilvl="0" w:tplc="3D263A94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B024FBC8">
      <w:numFmt w:val="bullet"/>
      <w:lvlText w:val="•"/>
      <w:lvlJc w:val="left"/>
      <w:pPr>
        <w:ind w:left="1610" w:hanging="850"/>
      </w:pPr>
      <w:rPr>
        <w:rFonts w:hint="default"/>
      </w:rPr>
    </w:lvl>
    <w:lvl w:ilvl="2" w:tplc="DADA7EF2">
      <w:numFmt w:val="bullet"/>
      <w:lvlText w:val="•"/>
      <w:lvlJc w:val="left"/>
      <w:pPr>
        <w:ind w:left="2261" w:hanging="850"/>
      </w:pPr>
      <w:rPr>
        <w:rFonts w:hint="default"/>
      </w:rPr>
    </w:lvl>
    <w:lvl w:ilvl="3" w:tplc="90E8AE6A">
      <w:numFmt w:val="bullet"/>
      <w:lvlText w:val="•"/>
      <w:lvlJc w:val="left"/>
      <w:pPr>
        <w:ind w:left="2911" w:hanging="850"/>
      </w:pPr>
      <w:rPr>
        <w:rFonts w:hint="default"/>
      </w:rPr>
    </w:lvl>
    <w:lvl w:ilvl="4" w:tplc="9430A0CC">
      <w:numFmt w:val="bullet"/>
      <w:lvlText w:val="•"/>
      <w:lvlJc w:val="left"/>
      <w:pPr>
        <w:ind w:left="3562" w:hanging="850"/>
      </w:pPr>
      <w:rPr>
        <w:rFonts w:hint="default"/>
      </w:rPr>
    </w:lvl>
    <w:lvl w:ilvl="5" w:tplc="5C1CF440">
      <w:numFmt w:val="bullet"/>
      <w:lvlText w:val="•"/>
      <w:lvlJc w:val="left"/>
      <w:pPr>
        <w:ind w:left="4212" w:hanging="850"/>
      </w:pPr>
      <w:rPr>
        <w:rFonts w:hint="default"/>
      </w:rPr>
    </w:lvl>
    <w:lvl w:ilvl="6" w:tplc="F7D2ECE0">
      <w:numFmt w:val="bullet"/>
      <w:lvlText w:val="•"/>
      <w:lvlJc w:val="left"/>
      <w:pPr>
        <w:ind w:left="4863" w:hanging="850"/>
      </w:pPr>
      <w:rPr>
        <w:rFonts w:hint="default"/>
      </w:rPr>
    </w:lvl>
    <w:lvl w:ilvl="7" w:tplc="FC3657FC">
      <w:numFmt w:val="bullet"/>
      <w:lvlText w:val="•"/>
      <w:lvlJc w:val="left"/>
      <w:pPr>
        <w:ind w:left="5513" w:hanging="850"/>
      </w:pPr>
      <w:rPr>
        <w:rFonts w:hint="default"/>
      </w:rPr>
    </w:lvl>
    <w:lvl w:ilvl="8" w:tplc="E0ACD89A">
      <w:numFmt w:val="bullet"/>
      <w:lvlText w:val="•"/>
      <w:lvlJc w:val="left"/>
      <w:pPr>
        <w:ind w:left="6164" w:hanging="850"/>
      </w:pPr>
      <w:rPr>
        <w:rFonts w:hint="default"/>
      </w:rPr>
    </w:lvl>
  </w:abstractNum>
  <w:abstractNum w:abstractNumId="28" w15:restartNumberingAfterBreak="0">
    <w:nsid w:val="48FF29BC"/>
    <w:multiLevelType w:val="hybridMultilevel"/>
    <w:tmpl w:val="72CA47F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C318B5"/>
    <w:multiLevelType w:val="hybridMultilevel"/>
    <w:tmpl w:val="0AA262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64322"/>
    <w:multiLevelType w:val="hybridMultilevel"/>
    <w:tmpl w:val="658074E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91F9A"/>
    <w:multiLevelType w:val="hybridMultilevel"/>
    <w:tmpl w:val="2FD688AE"/>
    <w:lvl w:ilvl="0" w:tplc="10C2560A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9B0566C">
      <w:numFmt w:val="bullet"/>
      <w:lvlText w:val="•"/>
      <w:lvlJc w:val="left"/>
      <w:pPr>
        <w:ind w:left="1610" w:hanging="850"/>
      </w:pPr>
      <w:rPr>
        <w:rFonts w:hint="default"/>
      </w:rPr>
    </w:lvl>
    <w:lvl w:ilvl="2" w:tplc="F028F21C">
      <w:numFmt w:val="bullet"/>
      <w:lvlText w:val="•"/>
      <w:lvlJc w:val="left"/>
      <w:pPr>
        <w:ind w:left="2261" w:hanging="850"/>
      </w:pPr>
      <w:rPr>
        <w:rFonts w:hint="default"/>
      </w:rPr>
    </w:lvl>
    <w:lvl w:ilvl="3" w:tplc="CC80BF12">
      <w:numFmt w:val="bullet"/>
      <w:lvlText w:val="•"/>
      <w:lvlJc w:val="left"/>
      <w:pPr>
        <w:ind w:left="2911" w:hanging="850"/>
      </w:pPr>
      <w:rPr>
        <w:rFonts w:hint="default"/>
      </w:rPr>
    </w:lvl>
    <w:lvl w:ilvl="4" w:tplc="BF907606">
      <w:numFmt w:val="bullet"/>
      <w:lvlText w:val="•"/>
      <w:lvlJc w:val="left"/>
      <w:pPr>
        <w:ind w:left="3562" w:hanging="850"/>
      </w:pPr>
      <w:rPr>
        <w:rFonts w:hint="default"/>
      </w:rPr>
    </w:lvl>
    <w:lvl w:ilvl="5" w:tplc="5CEE8594">
      <w:numFmt w:val="bullet"/>
      <w:lvlText w:val="•"/>
      <w:lvlJc w:val="left"/>
      <w:pPr>
        <w:ind w:left="4212" w:hanging="850"/>
      </w:pPr>
      <w:rPr>
        <w:rFonts w:hint="default"/>
      </w:rPr>
    </w:lvl>
    <w:lvl w:ilvl="6" w:tplc="E0002264">
      <w:numFmt w:val="bullet"/>
      <w:lvlText w:val="•"/>
      <w:lvlJc w:val="left"/>
      <w:pPr>
        <w:ind w:left="4863" w:hanging="850"/>
      </w:pPr>
      <w:rPr>
        <w:rFonts w:hint="default"/>
      </w:rPr>
    </w:lvl>
    <w:lvl w:ilvl="7" w:tplc="A82E9906">
      <w:numFmt w:val="bullet"/>
      <w:lvlText w:val="•"/>
      <w:lvlJc w:val="left"/>
      <w:pPr>
        <w:ind w:left="5513" w:hanging="850"/>
      </w:pPr>
      <w:rPr>
        <w:rFonts w:hint="default"/>
      </w:rPr>
    </w:lvl>
    <w:lvl w:ilvl="8" w:tplc="FB8E0F06">
      <w:numFmt w:val="bullet"/>
      <w:lvlText w:val="•"/>
      <w:lvlJc w:val="left"/>
      <w:pPr>
        <w:ind w:left="6164" w:hanging="850"/>
      </w:pPr>
      <w:rPr>
        <w:rFonts w:hint="default"/>
      </w:rPr>
    </w:lvl>
  </w:abstractNum>
  <w:abstractNum w:abstractNumId="32" w15:restartNumberingAfterBreak="0">
    <w:nsid w:val="63F16D96"/>
    <w:multiLevelType w:val="hybridMultilevel"/>
    <w:tmpl w:val="D6B69CA6"/>
    <w:lvl w:ilvl="0" w:tplc="20B2B6B4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312899E">
      <w:numFmt w:val="bullet"/>
      <w:lvlText w:val="•"/>
      <w:lvlJc w:val="left"/>
      <w:pPr>
        <w:ind w:left="1610" w:hanging="850"/>
      </w:pPr>
      <w:rPr>
        <w:rFonts w:hint="default"/>
      </w:rPr>
    </w:lvl>
    <w:lvl w:ilvl="2" w:tplc="E94478B6">
      <w:numFmt w:val="bullet"/>
      <w:lvlText w:val="•"/>
      <w:lvlJc w:val="left"/>
      <w:pPr>
        <w:ind w:left="2261" w:hanging="850"/>
      </w:pPr>
      <w:rPr>
        <w:rFonts w:hint="default"/>
      </w:rPr>
    </w:lvl>
    <w:lvl w:ilvl="3" w:tplc="46FC9F02">
      <w:numFmt w:val="bullet"/>
      <w:lvlText w:val="•"/>
      <w:lvlJc w:val="left"/>
      <w:pPr>
        <w:ind w:left="2911" w:hanging="850"/>
      </w:pPr>
      <w:rPr>
        <w:rFonts w:hint="default"/>
      </w:rPr>
    </w:lvl>
    <w:lvl w:ilvl="4" w:tplc="AD620BD8">
      <w:numFmt w:val="bullet"/>
      <w:lvlText w:val="•"/>
      <w:lvlJc w:val="left"/>
      <w:pPr>
        <w:ind w:left="3562" w:hanging="850"/>
      </w:pPr>
      <w:rPr>
        <w:rFonts w:hint="default"/>
      </w:rPr>
    </w:lvl>
    <w:lvl w:ilvl="5" w:tplc="982418C8">
      <w:numFmt w:val="bullet"/>
      <w:lvlText w:val="•"/>
      <w:lvlJc w:val="left"/>
      <w:pPr>
        <w:ind w:left="4212" w:hanging="850"/>
      </w:pPr>
      <w:rPr>
        <w:rFonts w:hint="default"/>
      </w:rPr>
    </w:lvl>
    <w:lvl w:ilvl="6" w:tplc="00D4355A">
      <w:numFmt w:val="bullet"/>
      <w:lvlText w:val="•"/>
      <w:lvlJc w:val="left"/>
      <w:pPr>
        <w:ind w:left="4863" w:hanging="850"/>
      </w:pPr>
      <w:rPr>
        <w:rFonts w:hint="default"/>
      </w:rPr>
    </w:lvl>
    <w:lvl w:ilvl="7" w:tplc="12FA6DF4">
      <w:numFmt w:val="bullet"/>
      <w:lvlText w:val="•"/>
      <w:lvlJc w:val="left"/>
      <w:pPr>
        <w:ind w:left="5513" w:hanging="850"/>
      </w:pPr>
      <w:rPr>
        <w:rFonts w:hint="default"/>
      </w:rPr>
    </w:lvl>
    <w:lvl w:ilvl="8" w:tplc="83FCF636">
      <w:numFmt w:val="bullet"/>
      <w:lvlText w:val="•"/>
      <w:lvlJc w:val="left"/>
      <w:pPr>
        <w:ind w:left="6164" w:hanging="850"/>
      </w:pPr>
      <w:rPr>
        <w:rFonts w:hint="default"/>
      </w:rPr>
    </w:lvl>
  </w:abstractNum>
  <w:abstractNum w:abstractNumId="33" w15:restartNumberingAfterBreak="0">
    <w:nsid w:val="64165A61"/>
    <w:multiLevelType w:val="hybridMultilevel"/>
    <w:tmpl w:val="E9FADB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1F4D3E"/>
    <w:multiLevelType w:val="hybridMultilevel"/>
    <w:tmpl w:val="08A05278"/>
    <w:lvl w:ilvl="0" w:tplc="28B87B84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DC8C9764">
      <w:numFmt w:val="bullet"/>
      <w:lvlText w:val="•"/>
      <w:lvlJc w:val="left"/>
      <w:pPr>
        <w:ind w:left="1610" w:hanging="850"/>
      </w:pPr>
      <w:rPr>
        <w:rFonts w:hint="default"/>
      </w:rPr>
    </w:lvl>
    <w:lvl w:ilvl="2" w:tplc="664624A4">
      <w:numFmt w:val="bullet"/>
      <w:lvlText w:val="•"/>
      <w:lvlJc w:val="left"/>
      <w:pPr>
        <w:ind w:left="2261" w:hanging="850"/>
      </w:pPr>
      <w:rPr>
        <w:rFonts w:hint="default"/>
      </w:rPr>
    </w:lvl>
    <w:lvl w:ilvl="3" w:tplc="0CD479AE">
      <w:numFmt w:val="bullet"/>
      <w:lvlText w:val="•"/>
      <w:lvlJc w:val="left"/>
      <w:pPr>
        <w:ind w:left="2911" w:hanging="850"/>
      </w:pPr>
      <w:rPr>
        <w:rFonts w:hint="default"/>
      </w:rPr>
    </w:lvl>
    <w:lvl w:ilvl="4" w:tplc="ADD2CE6E">
      <w:numFmt w:val="bullet"/>
      <w:lvlText w:val="•"/>
      <w:lvlJc w:val="left"/>
      <w:pPr>
        <w:ind w:left="3562" w:hanging="850"/>
      </w:pPr>
      <w:rPr>
        <w:rFonts w:hint="default"/>
      </w:rPr>
    </w:lvl>
    <w:lvl w:ilvl="5" w:tplc="0562EBE2">
      <w:numFmt w:val="bullet"/>
      <w:lvlText w:val="•"/>
      <w:lvlJc w:val="left"/>
      <w:pPr>
        <w:ind w:left="4212" w:hanging="850"/>
      </w:pPr>
      <w:rPr>
        <w:rFonts w:hint="default"/>
      </w:rPr>
    </w:lvl>
    <w:lvl w:ilvl="6" w:tplc="D1380F72">
      <w:numFmt w:val="bullet"/>
      <w:lvlText w:val="•"/>
      <w:lvlJc w:val="left"/>
      <w:pPr>
        <w:ind w:left="4863" w:hanging="850"/>
      </w:pPr>
      <w:rPr>
        <w:rFonts w:hint="default"/>
      </w:rPr>
    </w:lvl>
    <w:lvl w:ilvl="7" w:tplc="D2E42026">
      <w:numFmt w:val="bullet"/>
      <w:lvlText w:val="•"/>
      <w:lvlJc w:val="left"/>
      <w:pPr>
        <w:ind w:left="5513" w:hanging="850"/>
      </w:pPr>
      <w:rPr>
        <w:rFonts w:hint="default"/>
      </w:rPr>
    </w:lvl>
    <w:lvl w:ilvl="8" w:tplc="BE007A68">
      <w:numFmt w:val="bullet"/>
      <w:lvlText w:val="•"/>
      <w:lvlJc w:val="left"/>
      <w:pPr>
        <w:ind w:left="6164" w:hanging="850"/>
      </w:pPr>
      <w:rPr>
        <w:rFonts w:hint="default"/>
      </w:rPr>
    </w:lvl>
  </w:abstractNum>
  <w:abstractNum w:abstractNumId="35" w15:restartNumberingAfterBreak="0">
    <w:nsid w:val="67D06EA7"/>
    <w:multiLevelType w:val="hybridMultilevel"/>
    <w:tmpl w:val="AB1E08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054BF"/>
    <w:multiLevelType w:val="hybridMultilevel"/>
    <w:tmpl w:val="D1367F40"/>
    <w:lvl w:ilvl="0" w:tplc="26305012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2CFAFBCC">
      <w:numFmt w:val="bullet"/>
      <w:lvlText w:val="•"/>
      <w:lvlJc w:val="left"/>
      <w:pPr>
        <w:ind w:left="1610" w:hanging="850"/>
      </w:pPr>
      <w:rPr>
        <w:rFonts w:hint="default"/>
      </w:rPr>
    </w:lvl>
    <w:lvl w:ilvl="2" w:tplc="6E922F3C">
      <w:numFmt w:val="bullet"/>
      <w:lvlText w:val="•"/>
      <w:lvlJc w:val="left"/>
      <w:pPr>
        <w:ind w:left="2261" w:hanging="850"/>
      </w:pPr>
      <w:rPr>
        <w:rFonts w:hint="default"/>
      </w:rPr>
    </w:lvl>
    <w:lvl w:ilvl="3" w:tplc="9A7E55BA">
      <w:numFmt w:val="bullet"/>
      <w:lvlText w:val="•"/>
      <w:lvlJc w:val="left"/>
      <w:pPr>
        <w:ind w:left="2911" w:hanging="850"/>
      </w:pPr>
      <w:rPr>
        <w:rFonts w:hint="default"/>
      </w:rPr>
    </w:lvl>
    <w:lvl w:ilvl="4" w:tplc="3A4E2A86">
      <w:numFmt w:val="bullet"/>
      <w:lvlText w:val="•"/>
      <w:lvlJc w:val="left"/>
      <w:pPr>
        <w:ind w:left="3562" w:hanging="850"/>
      </w:pPr>
      <w:rPr>
        <w:rFonts w:hint="default"/>
      </w:rPr>
    </w:lvl>
    <w:lvl w:ilvl="5" w:tplc="ACF851C8">
      <w:numFmt w:val="bullet"/>
      <w:lvlText w:val="•"/>
      <w:lvlJc w:val="left"/>
      <w:pPr>
        <w:ind w:left="4212" w:hanging="850"/>
      </w:pPr>
      <w:rPr>
        <w:rFonts w:hint="default"/>
      </w:rPr>
    </w:lvl>
    <w:lvl w:ilvl="6" w:tplc="C17EAC6E">
      <w:numFmt w:val="bullet"/>
      <w:lvlText w:val="•"/>
      <w:lvlJc w:val="left"/>
      <w:pPr>
        <w:ind w:left="4863" w:hanging="850"/>
      </w:pPr>
      <w:rPr>
        <w:rFonts w:hint="default"/>
      </w:rPr>
    </w:lvl>
    <w:lvl w:ilvl="7" w:tplc="66E84F8E">
      <w:numFmt w:val="bullet"/>
      <w:lvlText w:val="•"/>
      <w:lvlJc w:val="left"/>
      <w:pPr>
        <w:ind w:left="5513" w:hanging="850"/>
      </w:pPr>
      <w:rPr>
        <w:rFonts w:hint="default"/>
      </w:rPr>
    </w:lvl>
    <w:lvl w:ilvl="8" w:tplc="6DAA7C8C">
      <w:numFmt w:val="bullet"/>
      <w:lvlText w:val="•"/>
      <w:lvlJc w:val="left"/>
      <w:pPr>
        <w:ind w:left="6164" w:hanging="850"/>
      </w:pPr>
      <w:rPr>
        <w:rFonts w:hint="default"/>
      </w:rPr>
    </w:lvl>
  </w:abstractNum>
  <w:abstractNum w:abstractNumId="37" w15:restartNumberingAfterBreak="0">
    <w:nsid w:val="741463FE"/>
    <w:multiLevelType w:val="hybridMultilevel"/>
    <w:tmpl w:val="C570E5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04B0D"/>
    <w:multiLevelType w:val="hybridMultilevel"/>
    <w:tmpl w:val="0F1C0F0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2"/>
  </w:num>
  <w:num w:numId="3">
    <w:abstractNumId w:val="8"/>
  </w:num>
  <w:num w:numId="4">
    <w:abstractNumId w:val="12"/>
  </w:num>
  <w:num w:numId="5">
    <w:abstractNumId w:val="31"/>
  </w:num>
  <w:num w:numId="6">
    <w:abstractNumId w:val="36"/>
  </w:num>
  <w:num w:numId="7">
    <w:abstractNumId w:val="22"/>
  </w:num>
  <w:num w:numId="8">
    <w:abstractNumId w:val="27"/>
  </w:num>
  <w:num w:numId="9">
    <w:abstractNumId w:val="1"/>
  </w:num>
  <w:num w:numId="10">
    <w:abstractNumId w:val="7"/>
  </w:num>
  <w:num w:numId="11">
    <w:abstractNumId w:val="6"/>
  </w:num>
  <w:num w:numId="12">
    <w:abstractNumId w:val="34"/>
  </w:num>
  <w:num w:numId="13">
    <w:abstractNumId w:val="20"/>
  </w:num>
  <w:num w:numId="14">
    <w:abstractNumId w:val="15"/>
  </w:num>
  <w:num w:numId="15">
    <w:abstractNumId w:val="23"/>
  </w:num>
  <w:num w:numId="16">
    <w:abstractNumId w:val="0"/>
  </w:num>
  <w:num w:numId="17">
    <w:abstractNumId w:val="9"/>
  </w:num>
  <w:num w:numId="18">
    <w:abstractNumId w:val="38"/>
  </w:num>
  <w:num w:numId="19">
    <w:abstractNumId w:val="35"/>
  </w:num>
  <w:num w:numId="20">
    <w:abstractNumId w:val="4"/>
  </w:num>
  <w:num w:numId="21">
    <w:abstractNumId w:val="28"/>
  </w:num>
  <w:num w:numId="22">
    <w:abstractNumId w:val="18"/>
  </w:num>
  <w:num w:numId="23">
    <w:abstractNumId w:val="16"/>
  </w:num>
  <w:num w:numId="24">
    <w:abstractNumId w:val="24"/>
  </w:num>
  <w:num w:numId="25">
    <w:abstractNumId w:val="25"/>
  </w:num>
  <w:num w:numId="26">
    <w:abstractNumId w:val="11"/>
  </w:num>
  <w:num w:numId="27">
    <w:abstractNumId w:val="21"/>
  </w:num>
  <w:num w:numId="28">
    <w:abstractNumId w:val="33"/>
  </w:num>
  <w:num w:numId="29">
    <w:abstractNumId w:val="17"/>
  </w:num>
  <w:num w:numId="30">
    <w:abstractNumId w:val="14"/>
  </w:num>
  <w:num w:numId="31">
    <w:abstractNumId w:val="10"/>
  </w:num>
  <w:num w:numId="32">
    <w:abstractNumId w:val="30"/>
  </w:num>
  <w:num w:numId="33">
    <w:abstractNumId w:val="13"/>
  </w:num>
  <w:num w:numId="34">
    <w:abstractNumId w:val="37"/>
  </w:num>
  <w:num w:numId="35">
    <w:abstractNumId w:val="5"/>
  </w:num>
  <w:num w:numId="36">
    <w:abstractNumId w:val="2"/>
  </w:num>
  <w:num w:numId="37">
    <w:abstractNumId w:val="19"/>
  </w:num>
  <w:num w:numId="38">
    <w:abstractNumId w:val="29"/>
  </w:num>
  <w:num w:numId="39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86"/>
    <w:rsid w:val="00023F3F"/>
    <w:rsid w:val="0005366B"/>
    <w:rsid w:val="000800EB"/>
    <w:rsid w:val="000B5514"/>
    <w:rsid w:val="00170C1E"/>
    <w:rsid w:val="0018423C"/>
    <w:rsid w:val="001A548B"/>
    <w:rsid w:val="00243138"/>
    <w:rsid w:val="00260CA3"/>
    <w:rsid w:val="002B47A2"/>
    <w:rsid w:val="002F6DD7"/>
    <w:rsid w:val="00345BBD"/>
    <w:rsid w:val="00377456"/>
    <w:rsid w:val="003E5BAA"/>
    <w:rsid w:val="00572C8B"/>
    <w:rsid w:val="005F5510"/>
    <w:rsid w:val="00665D50"/>
    <w:rsid w:val="006810BD"/>
    <w:rsid w:val="00693187"/>
    <w:rsid w:val="006F7609"/>
    <w:rsid w:val="0077583A"/>
    <w:rsid w:val="007A0D3E"/>
    <w:rsid w:val="007A2274"/>
    <w:rsid w:val="00875EC7"/>
    <w:rsid w:val="008D7AF4"/>
    <w:rsid w:val="008F415D"/>
    <w:rsid w:val="008F42F1"/>
    <w:rsid w:val="009848D0"/>
    <w:rsid w:val="00993E64"/>
    <w:rsid w:val="009F1352"/>
    <w:rsid w:val="00B04235"/>
    <w:rsid w:val="00B0762D"/>
    <w:rsid w:val="00B11F23"/>
    <w:rsid w:val="00B44686"/>
    <w:rsid w:val="00B94DAF"/>
    <w:rsid w:val="00BA46EC"/>
    <w:rsid w:val="00CD5BC7"/>
    <w:rsid w:val="00D86318"/>
    <w:rsid w:val="00E21984"/>
    <w:rsid w:val="00E620A9"/>
    <w:rsid w:val="00EF3807"/>
    <w:rsid w:val="00EF3A00"/>
    <w:rsid w:val="00F25F65"/>
    <w:rsid w:val="00F77717"/>
    <w:rsid w:val="00FE3D22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0AFE2C"/>
  <w15:docId w15:val="{DC9D6859-007E-4AD1-9D6C-3FB86F9F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"/>
      <w:ind w:left="20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437" w:right="1438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18"/>
      <w:ind w:left="1806" w:hanging="849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8"/>
      <w:ind w:left="1806" w:hanging="849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103"/>
    </w:pPr>
  </w:style>
  <w:style w:type="paragraph" w:styleId="Header">
    <w:name w:val="header"/>
    <w:basedOn w:val="Normal"/>
    <w:link w:val="HeaderChar"/>
    <w:uiPriority w:val="99"/>
    <w:unhideWhenUsed/>
    <w:rsid w:val="00EF38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80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38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807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BodyText"/>
    <w:link w:val="TitleChar"/>
    <w:qFormat/>
    <w:rsid w:val="00EF3807"/>
    <w:pPr>
      <w:keepNext/>
      <w:keepLines/>
      <w:widowControl/>
      <w:autoSpaceDE/>
      <w:autoSpaceDN/>
      <w:spacing w:before="240" w:after="240"/>
      <w:jc w:val="center"/>
      <w:outlineLvl w:val="0"/>
    </w:pPr>
    <w:rPr>
      <w:b/>
      <w:sz w:val="24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EF3807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TableText">
    <w:name w:val="TableText"/>
    <w:rsid w:val="00EF3807"/>
    <w:pPr>
      <w:widowControl/>
      <w:autoSpaceDE/>
      <w:autoSpaceDN/>
      <w:spacing w:before="40" w:after="40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Lev1Text">
    <w:name w:val="Lev1Text"/>
    <w:rsid w:val="00EF3807"/>
    <w:pPr>
      <w:widowControl/>
      <w:autoSpaceDE/>
      <w:autoSpaceDN/>
      <w:spacing w:after="220"/>
      <w:jc w:val="both"/>
    </w:pPr>
    <w:rPr>
      <w:rFonts w:ascii="Times New Roman" w:eastAsia="Times New Roman" w:hAnsi="Times New Roman" w:cs="Times New Roman"/>
      <w:szCs w:val="20"/>
      <w:lang w:val="en-GB" w:eastAsia="en-GB"/>
    </w:rPr>
  </w:style>
  <w:style w:type="table" w:styleId="TableGrid">
    <w:name w:val="Table Grid"/>
    <w:basedOn w:val="TableNormal"/>
    <w:uiPriority w:val="39"/>
    <w:rsid w:val="00681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31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1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B285FAC6C5543AA3C74B06B7FDE8A" ma:contentTypeVersion="10" ma:contentTypeDescription="Create a new document." ma:contentTypeScope="" ma:versionID="0584fe24bc9df8b8584c1a777941531e">
  <xsd:schema xmlns:xsd="http://www.w3.org/2001/XMLSchema" xmlns:xs="http://www.w3.org/2001/XMLSchema" xmlns:p="http://schemas.microsoft.com/office/2006/metadata/properties" xmlns:ns3="34a2eb89-4e62-4334-9588-1ccd47606a5e" xmlns:ns4="eb0cc72e-05de-48ba-8073-56cb1d5a6764" targetNamespace="http://schemas.microsoft.com/office/2006/metadata/properties" ma:root="true" ma:fieldsID="3ef9b645cb9a6b5c0f826e5a8d011193" ns3:_="" ns4:_="">
    <xsd:import namespace="34a2eb89-4e62-4334-9588-1ccd47606a5e"/>
    <xsd:import namespace="eb0cc72e-05de-48ba-8073-56cb1d5a67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2eb89-4e62-4334-9588-1ccd47606a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cc72e-05de-48ba-8073-56cb1d5a6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9D698D-2C3E-4346-A712-8158A8C0D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218F3-A5A7-4428-8347-3FD31BF03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2eb89-4e62-4334-9588-1ccd47606a5e"/>
    <ds:schemaRef ds:uri="eb0cc72e-05de-48ba-8073-56cb1d5a6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8B4AC-B183-406C-93B0-8A9E7F8176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Morgan</dc:creator>
  <cp:lastModifiedBy>Angela Morgan</cp:lastModifiedBy>
  <cp:revision>5</cp:revision>
  <dcterms:created xsi:type="dcterms:W3CDTF">2020-12-29T18:38:00Z</dcterms:created>
  <dcterms:modified xsi:type="dcterms:W3CDTF">2020-12-30T16:50:00Z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PDF CoDe 2018 4.7111.7111 (c) 2002-2018 European Commission</vt:lpwstr>
  </property>
  <property fmtid="{D5CDD505-2E9C-101B-9397-08002B2CF9AE}" pid="4" name="LastSaved">
    <vt:filetime>2019-03-26T00:00:00Z</vt:filetime>
  </property>
  <property fmtid="{D5CDD505-2E9C-101B-9397-08002B2CF9AE}" pid="5" name="ContentTypeId">
    <vt:lpwstr>0x01010097FB285FAC6C5543AA3C74B06B7FDE8A</vt:lpwstr>
  </property>
</Properties>
</file>