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39CFEBD3" w:rsidR="008F4819" w:rsidRPr="006366AE" w:rsidRDefault="000C04AD" w:rsidP="002842EF">
      <w:pPr>
        <w:pStyle w:val="BodyText"/>
        <w:jc w:val="center"/>
        <w:rPr>
          <w:rFonts w:ascii="Arial" w:hAnsi="Arial" w:cs="Arial"/>
          <w:b/>
          <w:sz w:val="22"/>
          <w:szCs w:val="22"/>
        </w:rPr>
      </w:pPr>
      <w:bookmarkStart w:id="0" w:name="_GoBack"/>
      <w:bookmarkEnd w:id="0"/>
      <w:r w:rsidRPr="006366AE">
        <w:rPr>
          <w:rFonts w:ascii="Arial" w:hAnsi="Arial" w:cs="Arial"/>
          <w:b/>
          <w:sz w:val="22"/>
          <w:szCs w:val="22"/>
        </w:rPr>
        <w:t xml:space="preserve">Cross-reference list – Annex </w:t>
      </w:r>
      <w:r w:rsidR="009B6959">
        <w:rPr>
          <w:rFonts w:ascii="Arial" w:hAnsi="Arial" w:cs="Arial"/>
          <w:b/>
          <w:sz w:val="22"/>
          <w:szCs w:val="22"/>
        </w:rPr>
        <w:t>6</w:t>
      </w:r>
    </w:p>
    <w:p w14:paraId="550D88CB" w14:textId="62C62EBB" w:rsidR="000C04AD" w:rsidRPr="006366AE" w:rsidRDefault="006366AE" w:rsidP="006366AE">
      <w:pPr>
        <w:autoSpaceDE w:val="0"/>
        <w:autoSpaceDN w:val="0"/>
        <w:adjustRightInd w:val="0"/>
        <w:jc w:val="center"/>
        <w:rPr>
          <w:rFonts w:ascii="Arial" w:eastAsiaTheme="minorHAnsi" w:hAnsi="Arial" w:cs="Arial"/>
          <w:color w:val="000000"/>
          <w:sz w:val="23"/>
          <w:szCs w:val="23"/>
          <w:lang w:eastAsia="en-US"/>
        </w:rPr>
      </w:pPr>
      <w:r w:rsidRPr="006366AE">
        <w:rPr>
          <w:rFonts w:ascii="Arial" w:eastAsiaTheme="minorHAnsi" w:hAnsi="Arial" w:cs="Arial"/>
          <w:b/>
          <w:bCs/>
          <w:color w:val="000000"/>
          <w:sz w:val="22"/>
          <w:szCs w:val="22"/>
          <w:lang w:eastAsia="en-US"/>
        </w:rPr>
        <w:t xml:space="preserve">Registration </w:t>
      </w:r>
      <w:r w:rsidR="00072EF3">
        <w:rPr>
          <w:rFonts w:ascii="Arial" w:eastAsiaTheme="minorHAnsi" w:hAnsi="Arial" w:cs="Arial"/>
          <w:b/>
          <w:bCs/>
          <w:color w:val="000000"/>
          <w:sz w:val="22"/>
          <w:szCs w:val="22"/>
          <w:lang w:eastAsia="en-US"/>
        </w:rPr>
        <w:t>Document f</w:t>
      </w:r>
      <w:r w:rsidR="00072EF3" w:rsidRPr="006366AE">
        <w:rPr>
          <w:rFonts w:ascii="Arial" w:eastAsiaTheme="minorHAnsi" w:hAnsi="Arial" w:cs="Arial"/>
          <w:b/>
          <w:bCs/>
          <w:color w:val="000000"/>
          <w:sz w:val="22"/>
          <w:szCs w:val="22"/>
          <w:lang w:eastAsia="en-US"/>
        </w:rPr>
        <w:t>or Retail Non-Equity Securities</w:t>
      </w:r>
      <w:r w:rsidR="00072EF3" w:rsidRPr="006366AE">
        <w:rPr>
          <w:rFonts w:ascii="Arial" w:eastAsiaTheme="minorHAnsi" w:hAnsi="Arial" w:cs="Arial"/>
          <w:b/>
          <w:bCs/>
          <w:color w:val="000000"/>
          <w:sz w:val="23"/>
          <w:szCs w:val="23"/>
          <w:lang w:eastAsia="en-US"/>
        </w:rPr>
        <w:t xml:space="preserve"> </w:t>
      </w:r>
    </w:p>
    <w:p w14:paraId="28076B00" w14:textId="2241933A" w:rsidR="008F4819" w:rsidRPr="006366AE" w:rsidRDefault="006366AE" w:rsidP="006366AE">
      <w:pPr>
        <w:pStyle w:val="Title"/>
        <w:tabs>
          <w:tab w:val="left" w:pos="3225"/>
        </w:tabs>
        <w:ind w:right="-45"/>
        <w:jc w:val="left"/>
        <w:rPr>
          <w:rFonts w:ascii="Arial" w:hAnsi="Arial" w:cs="Arial"/>
          <w:sz w:val="22"/>
          <w:szCs w:val="22"/>
        </w:rPr>
      </w:pPr>
      <w:r w:rsidRPr="006366AE">
        <w:rPr>
          <w:rFonts w:ascii="Arial" w:hAnsi="Arial" w:cs="Arial"/>
          <w:sz w:val="22"/>
          <w:szCs w:val="22"/>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9C694A">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9C694A">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9C694A">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9C694A">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5AD286E6" w14:textId="239589B2" w:rsidR="00634D2D" w:rsidRDefault="00634D2D" w:rsidP="008F4819">
      <w:pPr>
        <w:pStyle w:val="Lev1Text"/>
        <w:rPr>
          <w:rFonts w:ascii="Arial" w:hAnsi="Arial" w:cs="Arial"/>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992"/>
        <w:gridCol w:w="992"/>
        <w:gridCol w:w="3544"/>
      </w:tblGrid>
      <w:tr w:rsidR="00634D2D" w:rsidRPr="00634D2D" w14:paraId="3869FA85" w14:textId="77777777" w:rsidTr="009C694A">
        <w:trPr>
          <w:trHeight w:val="383"/>
          <w:tblHeader/>
        </w:trPr>
        <w:tc>
          <w:tcPr>
            <w:tcW w:w="851" w:type="dxa"/>
            <w:shd w:val="clear" w:color="auto" w:fill="632423"/>
          </w:tcPr>
          <w:p w14:paraId="77D0E3F4" w14:textId="2D0F5551" w:rsidR="00634D2D" w:rsidRPr="00634D2D" w:rsidRDefault="00634D2D" w:rsidP="00634D2D">
            <w:pPr>
              <w:autoSpaceDE w:val="0"/>
              <w:autoSpaceDN w:val="0"/>
              <w:adjustRightInd w:val="0"/>
              <w:spacing w:after="120"/>
              <w:rPr>
                <w:rFonts w:ascii="Arial" w:eastAsiaTheme="minorHAnsi" w:hAnsi="Arial" w:cs="Arial"/>
                <w:b/>
                <w:bCs/>
                <w:color w:val="FFFFFF" w:themeColor="background1"/>
                <w:sz w:val="18"/>
                <w:szCs w:val="18"/>
                <w:lang w:eastAsia="en-US"/>
              </w:rPr>
            </w:pPr>
            <w:r w:rsidRPr="00634D2D">
              <w:rPr>
                <w:rFonts w:ascii="Arial" w:eastAsiaTheme="minorHAnsi" w:hAnsi="Arial" w:cs="Arial"/>
                <w:b/>
                <w:bCs/>
                <w:color w:val="FFFFFF" w:themeColor="background1"/>
                <w:sz w:val="18"/>
                <w:szCs w:val="18"/>
                <w:lang w:eastAsia="en-US"/>
              </w:rPr>
              <w:t>Rule</w:t>
            </w:r>
          </w:p>
        </w:tc>
        <w:tc>
          <w:tcPr>
            <w:tcW w:w="4394" w:type="dxa"/>
            <w:shd w:val="clear" w:color="auto" w:fill="632423"/>
          </w:tcPr>
          <w:p w14:paraId="23C5FAF5" w14:textId="77777777" w:rsidR="00634D2D" w:rsidRPr="00634D2D" w:rsidRDefault="00634D2D" w:rsidP="00634D2D">
            <w:pPr>
              <w:autoSpaceDE w:val="0"/>
              <w:autoSpaceDN w:val="0"/>
              <w:adjustRightInd w:val="0"/>
              <w:spacing w:after="120"/>
              <w:rPr>
                <w:rFonts w:ascii="Arial" w:eastAsiaTheme="minorHAnsi" w:hAnsi="Arial" w:cs="Arial"/>
                <w:b/>
                <w:bCs/>
                <w:color w:val="FFFFFF" w:themeColor="background1"/>
                <w:sz w:val="18"/>
                <w:szCs w:val="18"/>
                <w:lang w:eastAsia="en-US"/>
              </w:rPr>
            </w:pPr>
          </w:p>
        </w:tc>
        <w:tc>
          <w:tcPr>
            <w:tcW w:w="992" w:type="dxa"/>
            <w:shd w:val="clear" w:color="auto" w:fill="632423"/>
          </w:tcPr>
          <w:p w14:paraId="7D395175" w14:textId="7DC94A1E" w:rsidR="00634D2D" w:rsidRPr="00634D2D" w:rsidRDefault="00634D2D" w:rsidP="00634D2D">
            <w:pPr>
              <w:autoSpaceDE w:val="0"/>
              <w:autoSpaceDN w:val="0"/>
              <w:adjustRightInd w:val="0"/>
              <w:spacing w:after="120"/>
              <w:rPr>
                <w:rFonts w:ascii="Arial" w:eastAsiaTheme="minorHAnsi" w:hAnsi="Arial" w:cs="Arial"/>
                <w:b/>
                <w:bCs/>
                <w:color w:val="FFFFFF" w:themeColor="background1"/>
                <w:sz w:val="18"/>
                <w:szCs w:val="18"/>
                <w:lang w:eastAsia="en-US"/>
              </w:rPr>
            </w:pPr>
            <w:r w:rsidRPr="00634D2D">
              <w:rPr>
                <w:rFonts w:ascii="Arial" w:eastAsiaTheme="minorHAnsi" w:hAnsi="Arial" w:cs="Arial"/>
                <w:b/>
                <w:bCs/>
                <w:color w:val="FFFFFF" w:themeColor="background1"/>
                <w:sz w:val="18"/>
                <w:szCs w:val="18"/>
                <w:lang w:eastAsia="en-US"/>
              </w:rPr>
              <w:t>Page</w:t>
            </w:r>
          </w:p>
        </w:tc>
        <w:tc>
          <w:tcPr>
            <w:tcW w:w="992" w:type="dxa"/>
            <w:shd w:val="clear" w:color="auto" w:fill="632423"/>
          </w:tcPr>
          <w:p w14:paraId="1AF6E826" w14:textId="6A11770F" w:rsidR="00634D2D" w:rsidRPr="00634D2D" w:rsidRDefault="00634D2D" w:rsidP="00634D2D">
            <w:pPr>
              <w:autoSpaceDE w:val="0"/>
              <w:autoSpaceDN w:val="0"/>
              <w:adjustRightInd w:val="0"/>
              <w:spacing w:after="120"/>
              <w:rPr>
                <w:rFonts w:ascii="Arial" w:eastAsiaTheme="minorHAnsi" w:hAnsi="Arial" w:cs="Arial"/>
                <w:b/>
                <w:bCs/>
                <w:color w:val="FFFFFF" w:themeColor="background1"/>
                <w:sz w:val="18"/>
                <w:szCs w:val="18"/>
                <w:lang w:eastAsia="en-US"/>
              </w:rPr>
            </w:pPr>
            <w:r w:rsidRPr="00634D2D">
              <w:rPr>
                <w:rFonts w:ascii="Arial" w:eastAsiaTheme="minorHAnsi" w:hAnsi="Arial" w:cs="Arial"/>
                <w:b/>
                <w:bCs/>
                <w:color w:val="FFFFFF" w:themeColor="background1"/>
                <w:sz w:val="18"/>
                <w:szCs w:val="18"/>
                <w:lang w:eastAsia="en-US"/>
              </w:rPr>
              <w:t>Proof Number</w:t>
            </w:r>
          </w:p>
        </w:tc>
        <w:tc>
          <w:tcPr>
            <w:tcW w:w="3544" w:type="dxa"/>
            <w:shd w:val="clear" w:color="auto" w:fill="632423"/>
          </w:tcPr>
          <w:p w14:paraId="0D34A9FD" w14:textId="557442B4" w:rsidR="00634D2D" w:rsidRPr="00634D2D" w:rsidRDefault="00634D2D" w:rsidP="00634D2D">
            <w:pPr>
              <w:autoSpaceDE w:val="0"/>
              <w:autoSpaceDN w:val="0"/>
              <w:adjustRightInd w:val="0"/>
              <w:spacing w:after="120"/>
              <w:rPr>
                <w:rFonts w:ascii="Arial" w:eastAsiaTheme="minorHAnsi" w:hAnsi="Arial" w:cs="Arial"/>
                <w:b/>
                <w:bCs/>
                <w:color w:val="FFFFFF" w:themeColor="background1"/>
                <w:sz w:val="18"/>
                <w:szCs w:val="18"/>
                <w:lang w:eastAsia="en-US"/>
              </w:rPr>
            </w:pPr>
            <w:r w:rsidRPr="00634D2D">
              <w:rPr>
                <w:rFonts w:ascii="Arial" w:eastAsiaTheme="minorHAnsi" w:hAnsi="Arial" w:cs="Arial"/>
                <w:b/>
                <w:bCs/>
                <w:color w:val="FFFFFF" w:themeColor="background1"/>
                <w:sz w:val="18"/>
                <w:szCs w:val="18"/>
                <w:lang w:eastAsia="en-US"/>
              </w:rPr>
              <w:t>Comment (where applicable)</w:t>
            </w:r>
          </w:p>
        </w:tc>
      </w:tr>
      <w:tr w:rsidR="00634D2D" w:rsidRPr="00634D2D" w14:paraId="0DF4BD35" w14:textId="6525D16A" w:rsidTr="009C694A">
        <w:trPr>
          <w:trHeight w:val="383"/>
        </w:trPr>
        <w:tc>
          <w:tcPr>
            <w:tcW w:w="851" w:type="dxa"/>
          </w:tcPr>
          <w:p w14:paraId="78148D18" w14:textId="1D31C87A"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bCs/>
                <w:color w:val="000000"/>
                <w:sz w:val="18"/>
                <w:szCs w:val="18"/>
                <w:lang w:eastAsia="en-US"/>
              </w:rPr>
              <w:t xml:space="preserve">1 </w:t>
            </w:r>
          </w:p>
        </w:tc>
        <w:tc>
          <w:tcPr>
            <w:tcW w:w="4394" w:type="dxa"/>
          </w:tcPr>
          <w:p w14:paraId="4775D18C"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bCs/>
                <w:color w:val="000000"/>
                <w:sz w:val="18"/>
                <w:szCs w:val="18"/>
                <w:lang w:eastAsia="en-US"/>
              </w:rPr>
              <w:t xml:space="preserve">PERSONS RESPONSIBLE, THIRD PARTY INFORMATION, EXPERTS’ REPORTS AND COMPETENT AUTHORITY APPROVAL </w:t>
            </w:r>
          </w:p>
        </w:tc>
        <w:tc>
          <w:tcPr>
            <w:tcW w:w="992" w:type="dxa"/>
          </w:tcPr>
          <w:p w14:paraId="2D5F5549" w14:textId="77777777" w:rsidR="00634D2D" w:rsidRPr="00634D2D" w:rsidRDefault="00634D2D" w:rsidP="00634D2D">
            <w:pPr>
              <w:autoSpaceDE w:val="0"/>
              <w:autoSpaceDN w:val="0"/>
              <w:adjustRightInd w:val="0"/>
              <w:spacing w:after="120"/>
              <w:rPr>
                <w:rFonts w:ascii="Arial" w:eastAsiaTheme="minorHAnsi" w:hAnsi="Arial" w:cs="Arial"/>
                <w:b/>
                <w:bCs/>
                <w:color w:val="000000"/>
                <w:sz w:val="18"/>
                <w:szCs w:val="18"/>
                <w:lang w:eastAsia="en-US"/>
              </w:rPr>
            </w:pPr>
          </w:p>
        </w:tc>
        <w:tc>
          <w:tcPr>
            <w:tcW w:w="992" w:type="dxa"/>
          </w:tcPr>
          <w:p w14:paraId="3AD0D6E6" w14:textId="77777777" w:rsidR="00634D2D" w:rsidRPr="00634D2D" w:rsidRDefault="00634D2D" w:rsidP="00634D2D">
            <w:pPr>
              <w:autoSpaceDE w:val="0"/>
              <w:autoSpaceDN w:val="0"/>
              <w:adjustRightInd w:val="0"/>
              <w:spacing w:after="120"/>
              <w:rPr>
                <w:rFonts w:ascii="Arial" w:eastAsiaTheme="minorHAnsi" w:hAnsi="Arial" w:cs="Arial"/>
                <w:b/>
                <w:bCs/>
                <w:color w:val="000000"/>
                <w:sz w:val="18"/>
                <w:szCs w:val="18"/>
                <w:lang w:eastAsia="en-US"/>
              </w:rPr>
            </w:pPr>
          </w:p>
        </w:tc>
        <w:tc>
          <w:tcPr>
            <w:tcW w:w="3544" w:type="dxa"/>
          </w:tcPr>
          <w:p w14:paraId="76DFAFCA" w14:textId="77777777" w:rsidR="00634D2D" w:rsidRPr="00634D2D" w:rsidRDefault="00634D2D" w:rsidP="00634D2D">
            <w:pPr>
              <w:autoSpaceDE w:val="0"/>
              <w:autoSpaceDN w:val="0"/>
              <w:adjustRightInd w:val="0"/>
              <w:spacing w:after="120"/>
              <w:rPr>
                <w:rFonts w:ascii="Arial" w:eastAsiaTheme="minorHAnsi" w:hAnsi="Arial" w:cs="Arial"/>
                <w:b/>
                <w:bCs/>
                <w:color w:val="000000"/>
                <w:sz w:val="18"/>
                <w:szCs w:val="18"/>
                <w:lang w:eastAsia="en-US"/>
              </w:rPr>
            </w:pPr>
          </w:p>
        </w:tc>
      </w:tr>
      <w:tr w:rsidR="00634D2D" w:rsidRPr="00634D2D" w14:paraId="17EF0FEF" w14:textId="7E67D8E2" w:rsidTr="009C694A">
        <w:trPr>
          <w:trHeight w:val="799"/>
        </w:trPr>
        <w:tc>
          <w:tcPr>
            <w:tcW w:w="851" w:type="dxa"/>
          </w:tcPr>
          <w:p w14:paraId="010B4977" w14:textId="152BF6DC"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bCs/>
                <w:color w:val="000000"/>
                <w:sz w:val="18"/>
                <w:szCs w:val="18"/>
                <w:lang w:eastAsia="en-US"/>
              </w:rPr>
              <w:t xml:space="preserve">1.1 </w:t>
            </w:r>
          </w:p>
        </w:tc>
        <w:tc>
          <w:tcPr>
            <w:tcW w:w="4394" w:type="dxa"/>
          </w:tcPr>
          <w:p w14:paraId="290DF7FB"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92" w:type="dxa"/>
          </w:tcPr>
          <w:p w14:paraId="6755BA1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Pr>
          <w:p w14:paraId="04FE01C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Pr>
          <w:p w14:paraId="70F843B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DDE6DE5" w14:textId="7F4AE027" w:rsidTr="009C694A">
        <w:trPr>
          <w:trHeight w:val="1411"/>
        </w:trPr>
        <w:tc>
          <w:tcPr>
            <w:tcW w:w="851" w:type="dxa"/>
          </w:tcPr>
          <w:p w14:paraId="49430832" w14:textId="52AA06C6"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bCs/>
                <w:color w:val="000000"/>
                <w:sz w:val="18"/>
                <w:szCs w:val="18"/>
                <w:lang w:eastAsia="en-US"/>
              </w:rPr>
              <w:t xml:space="preserve">1.2 </w:t>
            </w:r>
          </w:p>
        </w:tc>
        <w:tc>
          <w:tcPr>
            <w:tcW w:w="4394" w:type="dxa"/>
          </w:tcPr>
          <w:p w14:paraId="2B9E497C"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 declaration by those responsible for the registration document that to the best of their knowledge, the information contained in the registration document is in accordance with the facts and that the registration document makes no omission likely to affect its import. </w:t>
            </w:r>
          </w:p>
          <w:p w14:paraId="7275D7A3"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 </w:t>
            </w:r>
          </w:p>
        </w:tc>
        <w:tc>
          <w:tcPr>
            <w:tcW w:w="992" w:type="dxa"/>
          </w:tcPr>
          <w:p w14:paraId="13977466"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Pr>
          <w:p w14:paraId="51BE46F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Pr>
          <w:p w14:paraId="7686312D"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70B9E6D" w14:textId="151972AD" w:rsidTr="009C694A">
        <w:trPr>
          <w:trHeight w:val="1927"/>
        </w:trPr>
        <w:tc>
          <w:tcPr>
            <w:tcW w:w="851" w:type="dxa"/>
          </w:tcPr>
          <w:p w14:paraId="492AB066" w14:textId="5FD2C440"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bCs/>
                <w:color w:val="000000"/>
                <w:sz w:val="18"/>
                <w:szCs w:val="18"/>
                <w:lang w:eastAsia="en-US"/>
              </w:rPr>
              <w:t xml:space="preserve">1.3 </w:t>
            </w:r>
          </w:p>
        </w:tc>
        <w:tc>
          <w:tcPr>
            <w:tcW w:w="4394" w:type="dxa"/>
          </w:tcPr>
          <w:p w14:paraId="05BE1A77"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Where a statement or report attributed to a person as an expert is included in the registration document, provide the following in relation to that person: </w:t>
            </w:r>
          </w:p>
          <w:p w14:paraId="6909FFCD" w14:textId="45FBBE77" w:rsidR="00634D2D" w:rsidRPr="00834D35" w:rsidRDefault="00634D2D" w:rsidP="00EF22EB">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name; </w:t>
            </w:r>
          </w:p>
          <w:p w14:paraId="3FA73AA2" w14:textId="4465D1B6" w:rsidR="00634D2D" w:rsidRPr="00834D35" w:rsidRDefault="00634D2D" w:rsidP="00EF22EB">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business address; </w:t>
            </w:r>
          </w:p>
          <w:p w14:paraId="0D81268E" w14:textId="619CBCC9" w:rsidR="00634D2D" w:rsidRPr="00834D35" w:rsidRDefault="00634D2D" w:rsidP="00EF22EB">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qualifications; </w:t>
            </w:r>
          </w:p>
          <w:p w14:paraId="5132048F" w14:textId="5FBD22D3" w:rsidR="00634D2D" w:rsidRPr="00834D35" w:rsidRDefault="00634D2D" w:rsidP="00EF22EB">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material interest if any in the issuer. </w:t>
            </w:r>
          </w:p>
          <w:p w14:paraId="06E5C036"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If the statement or report has been produced at the issuer’s request, state that such statement or report has been included in the registration document with the consent of the person who has authorised the contents of that part of the registration document </w:t>
            </w:r>
            <w:proofErr w:type="gramStart"/>
            <w:r w:rsidRPr="00834D35">
              <w:rPr>
                <w:rFonts w:ascii="Arial" w:eastAsiaTheme="minorHAnsi" w:hAnsi="Arial" w:cs="Arial"/>
                <w:color w:val="000000"/>
                <w:sz w:val="18"/>
                <w:szCs w:val="18"/>
                <w:lang w:eastAsia="en-US"/>
              </w:rPr>
              <w:t>for the purpose of</w:t>
            </w:r>
            <w:proofErr w:type="gramEnd"/>
            <w:r w:rsidRPr="00834D35">
              <w:rPr>
                <w:rFonts w:ascii="Arial" w:eastAsiaTheme="minorHAnsi" w:hAnsi="Arial" w:cs="Arial"/>
                <w:color w:val="000000"/>
                <w:sz w:val="18"/>
                <w:szCs w:val="18"/>
                <w:lang w:eastAsia="en-US"/>
              </w:rPr>
              <w:t xml:space="preserve"> the prospectus. </w:t>
            </w:r>
          </w:p>
        </w:tc>
        <w:tc>
          <w:tcPr>
            <w:tcW w:w="992" w:type="dxa"/>
          </w:tcPr>
          <w:p w14:paraId="5DE5292D"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Pr>
          <w:p w14:paraId="2EF6B10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Pr>
          <w:p w14:paraId="0C511CE9"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05C28763" w14:textId="1ECEC3C1" w:rsidTr="009C694A">
        <w:trPr>
          <w:trHeight w:val="799"/>
        </w:trPr>
        <w:tc>
          <w:tcPr>
            <w:tcW w:w="851" w:type="dxa"/>
          </w:tcPr>
          <w:p w14:paraId="53C98806" w14:textId="33BFC1CA"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bCs/>
                <w:color w:val="000000"/>
                <w:sz w:val="18"/>
                <w:szCs w:val="18"/>
                <w:lang w:eastAsia="en-US"/>
              </w:rPr>
              <w:t xml:space="preserve">1.4 </w:t>
            </w:r>
          </w:p>
        </w:tc>
        <w:tc>
          <w:tcPr>
            <w:tcW w:w="4394" w:type="dxa"/>
          </w:tcPr>
          <w:p w14:paraId="75743281"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Where information has been sourced from a third party, provide a confirmation that this information has been accurately reproduced and that as far as the issuer is aware and is able to ascertain from information published by that third party, no facts </w:t>
            </w:r>
            <w:r w:rsidRPr="00834D35">
              <w:rPr>
                <w:rFonts w:ascii="Arial" w:eastAsiaTheme="minorHAnsi" w:hAnsi="Arial" w:cs="Arial"/>
                <w:color w:val="000000"/>
                <w:sz w:val="18"/>
                <w:szCs w:val="18"/>
                <w:lang w:eastAsia="en-US"/>
              </w:rPr>
              <w:lastRenderedPageBreak/>
              <w:t xml:space="preserve">have been omitted which would render the reproduced information inaccurate or misleading. In addition, identify the source(s) of the information. </w:t>
            </w:r>
          </w:p>
        </w:tc>
        <w:tc>
          <w:tcPr>
            <w:tcW w:w="992" w:type="dxa"/>
          </w:tcPr>
          <w:p w14:paraId="5A029FF4"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Pr>
          <w:p w14:paraId="66A5553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Pr>
          <w:p w14:paraId="7D3883E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7E2C519" w14:textId="7C29F981" w:rsidTr="009C694A">
        <w:trPr>
          <w:trHeight w:val="307"/>
        </w:trPr>
        <w:tc>
          <w:tcPr>
            <w:tcW w:w="851" w:type="dxa"/>
          </w:tcPr>
          <w:p w14:paraId="12D092A5" w14:textId="5E7A237E"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bCs/>
                <w:color w:val="000000"/>
                <w:sz w:val="18"/>
                <w:szCs w:val="18"/>
                <w:lang w:eastAsia="en-US"/>
              </w:rPr>
              <w:t xml:space="preserve">1.5 </w:t>
            </w:r>
          </w:p>
        </w:tc>
        <w:tc>
          <w:tcPr>
            <w:tcW w:w="4394" w:type="dxa"/>
          </w:tcPr>
          <w:p w14:paraId="669687D3"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 statement that: </w:t>
            </w:r>
          </w:p>
          <w:p w14:paraId="0DCC3FFD" w14:textId="1484E904" w:rsidR="00634D2D" w:rsidRPr="00834D35" w:rsidRDefault="00634D2D" w:rsidP="00EF22EB">
            <w:pPr>
              <w:pStyle w:val="ListParagraph"/>
              <w:numPr>
                <w:ilvl w:val="0"/>
                <w:numId w:val="29"/>
              </w:numPr>
              <w:autoSpaceDE w:val="0"/>
              <w:autoSpaceDN w:val="0"/>
              <w:adjustRightInd w:val="0"/>
              <w:spacing w:after="120"/>
              <w:ind w:left="360"/>
              <w:rPr>
                <w:rFonts w:ascii="Arial" w:hAnsi="Arial" w:cs="Arial"/>
                <w:sz w:val="18"/>
                <w:szCs w:val="18"/>
              </w:rPr>
            </w:pPr>
            <w:r w:rsidRPr="00834D35">
              <w:rPr>
                <w:rFonts w:ascii="Arial" w:eastAsiaTheme="minorHAnsi" w:hAnsi="Arial" w:cs="Arial"/>
                <w:color w:val="000000"/>
                <w:sz w:val="18"/>
                <w:szCs w:val="18"/>
                <w:lang w:eastAsia="en-US"/>
              </w:rPr>
              <w:t xml:space="preserve">the [registration document / prospectus] has been approved by </w:t>
            </w:r>
            <w:r w:rsidRPr="00834D35">
              <w:rPr>
                <w:rFonts w:ascii="Arial" w:hAnsi="Arial" w:cs="Arial"/>
                <w:sz w:val="18"/>
                <w:szCs w:val="18"/>
              </w:rPr>
              <w:t xml:space="preserve">the [name of competent authority], as competent authority under Regulation (EU) 2017/1129; </w:t>
            </w:r>
          </w:p>
          <w:p w14:paraId="1D88C984" w14:textId="77777777" w:rsidR="00EF22EB" w:rsidRPr="00834D35" w:rsidRDefault="00634D2D" w:rsidP="00EF22EB">
            <w:pPr>
              <w:pStyle w:val="Default"/>
              <w:numPr>
                <w:ilvl w:val="0"/>
                <w:numId w:val="29"/>
              </w:numPr>
              <w:spacing w:after="120"/>
              <w:ind w:left="360"/>
              <w:rPr>
                <w:rFonts w:ascii="Arial" w:hAnsi="Arial" w:cs="Arial"/>
                <w:sz w:val="18"/>
                <w:szCs w:val="18"/>
              </w:rPr>
            </w:pPr>
            <w:r w:rsidRPr="00834D35">
              <w:rPr>
                <w:rFonts w:ascii="Arial" w:hAnsi="Arial" w:cs="Arial"/>
                <w:sz w:val="18"/>
                <w:szCs w:val="18"/>
              </w:rPr>
              <w:t xml:space="preserve">the [name of competent authority] only approves this [registration document / prospectus] as meeting the standards of completeness, comprehensibility and consistency imposed by Regulation (EU) 2017/1129; </w:t>
            </w:r>
          </w:p>
          <w:p w14:paraId="7E33E4F0" w14:textId="77FC433D" w:rsidR="00634D2D" w:rsidRPr="00834D35" w:rsidRDefault="00634D2D" w:rsidP="00EF22EB">
            <w:pPr>
              <w:pStyle w:val="Default"/>
              <w:numPr>
                <w:ilvl w:val="0"/>
                <w:numId w:val="29"/>
              </w:numPr>
              <w:spacing w:after="120"/>
              <w:ind w:left="360"/>
              <w:rPr>
                <w:rFonts w:ascii="Arial" w:hAnsi="Arial" w:cs="Arial"/>
                <w:sz w:val="18"/>
                <w:szCs w:val="18"/>
              </w:rPr>
            </w:pPr>
            <w:r w:rsidRPr="00834D35">
              <w:rPr>
                <w:rFonts w:ascii="Arial" w:hAnsi="Arial" w:cs="Arial"/>
                <w:sz w:val="18"/>
                <w:szCs w:val="18"/>
              </w:rPr>
              <w:t xml:space="preserve">such approval should not be considered as an endorsement of the issuer that is the subject of this [registration document / prospectus]. </w:t>
            </w:r>
          </w:p>
        </w:tc>
        <w:tc>
          <w:tcPr>
            <w:tcW w:w="992" w:type="dxa"/>
          </w:tcPr>
          <w:p w14:paraId="0D9FA09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Pr>
          <w:p w14:paraId="026639D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Pr>
          <w:p w14:paraId="7155C4F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56D841B" w14:textId="027248B9"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770C0D8F" w14:textId="19E4ADFD"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2 </w:t>
            </w:r>
          </w:p>
        </w:tc>
        <w:tc>
          <w:tcPr>
            <w:tcW w:w="4394" w:type="dxa"/>
            <w:tcBorders>
              <w:top w:val="single" w:sz="4" w:space="0" w:color="auto"/>
              <w:left w:val="single" w:sz="4" w:space="0" w:color="auto"/>
              <w:bottom w:val="single" w:sz="4" w:space="0" w:color="auto"/>
              <w:right w:val="single" w:sz="4" w:space="0" w:color="auto"/>
            </w:tcBorders>
          </w:tcPr>
          <w:p w14:paraId="247130E5"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STATUTORY AUDITORS </w:t>
            </w:r>
          </w:p>
        </w:tc>
        <w:tc>
          <w:tcPr>
            <w:tcW w:w="992" w:type="dxa"/>
            <w:tcBorders>
              <w:top w:val="single" w:sz="4" w:space="0" w:color="auto"/>
              <w:left w:val="single" w:sz="4" w:space="0" w:color="auto"/>
              <w:bottom w:val="single" w:sz="4" w:space="0" w:color="auto"/>
              <w:right w:val="single" w:sz="4" w:space="0" w:color="auto"/>
            </w:tcBorders>
          </w:tcPr>
          <w:p w14:paraId="3220ABA6"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242082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755C8099"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8CFA4C8" w14:textId="78BE71E8"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7571BB26" w14:textId="0EB0930F"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2.1 </w:t>
            </w:r>
          </w:p>
        </w:tc>
        <w:tc>
          <w:tcPr>
            <w:tcW w:w="4394" w:type="dxa"/>
            <w:tcBorders>
              <w:top w:val="single" w:sz="4" w:space="0" w:color="auto"/>
              <w:left w:val="single" w:sz="4" w:space="0" w:color="auto"/>
              <w:bottom w:val="single" w:sz="4" w:space="0" w:color="auto"/>
              <w:right w:val="single" w:sz="4" w:space="0" w:color="auto"/>
            </w:tcBorders>
          </w:tcPr>
          <w:p w14:paraId="27259B9D"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Names and addresses of the issuer’s auditors for the period covered by the historical financial information (together with their membership in a professional body). </w:t>
            </w:r>
          </w:p>
        </w:tc>
        <w:tc>
          <w:tcPr>
            <w:tcW w:w="992" w:type="dxa"/>
            <w:tcBorders>
              <w:top w:val="single" w:sz="4" w:space="0" w:color="auto"/>
              <w:left w:val="single" w:sz="4" w:space="0" w:color="auto"/>
              <w:bottom w:val="single" w:sz="4" w:space="0" w:color="auto"/>
              <w:right w:val="single" w:sz="4" w:space="0" w:color="auto"/>
            </w:tcBorders>
          </w:tcPr>
          <w:p w14:paraId="1EFAC11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BE0B0C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3D24B9A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1244CF8" w14:textId="44F33CEB"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00F18931" w14:textId="27066AB6"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2.2 </w:t>
            </w:r>
          </w:p>
        </w:tc>
        <w:tc>
          <w:tcPr>
            <w:tcW w:w="4394" w:type="dxa"/>
            <w:tcBorders>
              <w:top w:val="single" w:sz="4" w:space="0" w:color="auto"/>
              <w:left w:val="single" w:sz="4" w:space="0" w:color="auto"/>
              <w:bottom w:val="single" w:sz="4" w:space="0" w:color="auto"/>
              <w:right w:val="single" w:sz="4" w:space="0" w:color="auto"/>
            </w:tcBorders>
          </w:tcPr>
          <w:p w14:paraId="4D28CBEE"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If auditors have resigned, been removed or have not been re-appointed during the period covered by the historical financial information, indicate details if material. </w:t>
            </w:r>
          </w:p>
        </w:tc>
        <w:tc>
          <w:tcPr>
            <w:tcW w:w="992" w:type="dxa"/>
            <w:tcBorders>
              <w:top w:val="single" w:sz="4" w:space="0" w:color="auto"/>
              <w:left w:val="single" w:sz="4" w:space="0" w:color="auto"/>
              <w:bottom w:val="single" w:sz="4" w:space="0" w:color="auto"/>
              <w:right w:val="single" w:sz="4" w:space="0" w:color="auto"/>
            </w:tcBorders>
          </w:tcPr>
          <w:p w14:paraId="72BA09CD"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81B1B9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4274E9E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46776788" w14:textId="1A3CFC70"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58A98D6D" w14:textId="74F38931"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3 </w:t>
            </w:r>
          </w:p>
        </w:tc>
        <w:tc>
          <w:tcPr>
            <w:tcW w:w="4394" w:type="dxa"/>
            <w:tcBorders>
              <w:top w:val="single" w:sz="4" w:space="0" w:color="auto"/>
              <w:left w:val="single" w:sz="4" w:space="0" w:color="auto"/>
              <w:bottom w:val="single" w:sz="4" w:space="0" w:color="auto"/>
              <w:right w:val="single" w:sz="4" w:space="0" w:color="auto"/>
            </w:tcBorders>
          </w:tcPr>
          <w:p w14:paraId="7BA36570"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RISK FACTORS </w:t>
            </w:r>
          </w:p>
        </w:tc>
        <w:tc>
          <w:tcPr>
            <w:tcW w:w="992" w:type="dxa"/>
            <w:tcBorders>
              <w:top w:val="single" w:sz="4" w:space="0" w:color="auto"/>
              <w:left w:val="single" w:sz="4" w:space="0" w:color="auto"/>
              <w:bottom w:val="single" w:sz="4" w:space="0" w:color="auto"/>
              <w:right w:val="single" w:sz="4" w:space="0" w:color="auto"/>
            </w:tcBorders>
          </w:tcPr>
          <w:p w14:paraId="16ECD73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9C93FB2"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30AD01C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7719D094" w14:textId="782AAFEB"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6DCBB155" w14:textId="3C388DCD"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3.1 </w:t>
            </w:r>
          </w:p>
        </w:tc>
        <w:tc>
          <w:tcPr>
            <w:tcW w:w="4394" w:type="dxa"/>
            <w:tcBorders>
              <w:top w:val="single" w:sz="4" w:space="0" w:color="auto"/>
              <w:left w:val="single" w:sz="4" w:space="0" w:color="auto"/>
              <w:bottom w:val="single" w:sz="4" w:space="0" w:color="auto"/>
              <w:right w:val="single" w:sz="4" w:space="0" w:color="auto"/>
            </w:tcBorders>
          </w:tcPr>
          <w:p w14:paraId="3A5EFD6B"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 description of the material risks that are specific to the issuer and that may affect the issuer’s ability to fulfil its obligations under the securities, in a limited number of categories, in a section headed ‘Risk Factors’. </w:t>
            </w:r>
          </w:p>
          <w:p w14:paraId="692CCF4E"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In each category the most material risks, in the assessment of the issuer, offeror or person asking for admission to trading on a regulated market, </w:t>
            </w:r>
            <w:proofErr w:type="gramStart"/>
            <w:r w:rsidRPr="00834D35">
              <w:rPr>
                <w:rFonts w:ascii="Arial" w:eastAsiaTheme="minorHAnsi" w:hAnsi="Arial" w:cs="Arial"/>
                <w:color w:val="000000"/>
                <w:sz w:val="18"/>
                <w:szCs w:val="18"/>
                <w:lang w:eastAsia="en-US"/>
              </w:rPr>
              <w:t>taking into account</w:t>
            </w:r>
            <w:proofErr w:type="gramEnd"/>
            <w:r w:rsidRPr="00834D35">
              <w:rPr>
                <w:rFonts w:ascii="Arial" w:eastAsiaTheme="minorHAnsi" w:hAnsi="Arial" w:cs="Arial"/>
                <w:color w:val="000000"/>
                <w:sz w:val="18"/>
                <w:szCs w:val="18"/>
                <w:lang w:eastAsia="en-US"/>
              </w:rPr>
              <w:t xml:space="preserve"> the negative impact on the issuer and the probability of their occurrence, shall be set out first. The risk factors shall be corroborated by the content of the registration document. </w:t>
            </w:r>
          </w:p>
        </w:tc>
        <w:tc>
          <w:tcPr>
            <w:tcW w:w="992" w:type="dxa"/>
            <w:tcBorders>
              <w:top w:val="single" w:sz="4" w:space="0" w:color="auto"/>
              <w:left w:val="single" w:sz="4" w:space="0" w:color="auto"/>
              <w:bottom w:val="single" w:sz="4" w:space="0" w:color="auto"/>
              <w:right w:val="single" w:sz="4" w:space="0" w:color="auto"/>
            </w:tcBorders>
          </w:tcPr>
          <w:p w14:paraId="2CF9774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02F033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18ABCF26"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3C819DE" w14:textId="12369330"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3463B786" w14:textId="3DE3052D"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4 </w:t>
            </w:r>
          </w:p>
        </w:tc>
        <w:tc>
          <w:tcPr>
            <w:tcW w:w="4394" w:type="dxa"/>
            <w:tcBorders>
              <w:top w:val="single" w:sz="4" w:space="0" w:color="auto"/>
              <w:left w:val="single" w:sz="4" w:space="0" w:color="auto"/>
              <w:bottom w:val="single" w:sz="4" w:space="0" w:color="auto"/>
              <w:right w:val="single" w:sz="4" w:space="0" w:color="auto"/>
            </w:tcBorders>
          </w:tcPr>
          <w:p w14:paraId="70846FF6"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INFORMATION ABOUT THE ISSUER </w:t>
            </w:r>
          </w:p>
        </w:tc>
        <w:tc>
          <w:tcPr>
            <w:tcW w:w="992" w:type="dxa"/>
            <w:tcBorders>
              <w:top w:val="single" w:sz="4" w:space="0" w:color="auto"/>
              <w:left w:val="single" w:sz="4" w:space="0" w:color="auto"/>
              <w:bottom w:val="single" w:sz="4" w:space="0" w:color="auto"/>
              <w:right w:val="single" w:sz="4" w:space="0" w:color="auto"/>
            </w:tcBorders>
          </w:tcPr>
          <w:p w14:paraId="0F2683F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235EE9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52B95C9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80B5103" w14:textId="2C2324D7"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4E9529E5" w14:textId="60A4C876"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4.1 </w:t>
            </w:r>
          </w:p>
        </w:tc>
        <w:tc>
          <w:tcPr>
            <w:tcW w:w="4394" w:type="dxa"/>
            <w:tcBorders>
              <w:top w:val="single" w:sz="4" w:space="0" w:color="auto"/>
              <w:left w:val="single" w:sz="4" w:space="0" w:color="auto"/>
              <w:bottom w:val="single" w:sz="4" w:space="0" w:color="auto"/>
              <w:right w:val="single" w:sz="4" w:space="0" w:color="auto"/>
            </w:tcBorders>
          </w:tcPr>
          <w:p w14:paraId="4B7524A3"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History and development of the issuer </w:t>
            </w:r>
          </w:p>
        </w:tc>
        <w:tc>
          <w:tcPr>
            <w:tcW w:w="992" w:type="dxa"/>
            <w:tcBorders>
              <w:top w:val="single" w:sz="4" w:space="0" w:color="auto"/>
              <w:left w:val="single" w:sz="4" w:space="0" w:color="auto"/>
              <w:bottom w:val="single" w:sz="4" w:space="0" w:color="auto"/>
              <w:right w:val="single" w:sz="4" w:space="0" w:color="auto"/>
            </w:tcBorders>
          </w:tcPr>
          <w:p w14:paraId="722A6BEB"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D95704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5B49273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820F7B4" w14:textId="20726464"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152FCB17" w14:textId="2CAB52A6"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4.1.1 </w:t>
            </w:r>
          </w:p>
        </w:tc>
        <w:tc>
          <w:tcPr>
            <w:tcW w:w="4394" w:type="dxa"/>
            <w:tcBorders>
              <w:top w:val="single" w:sz="4" w:space="0" w:color="auto"/>
              <w:left w:val="single" w:sz="4" w:space="0" w:color="auto"/>
              <w:bottom w:val="single" w:sz="4" w:space="0" w:color="auto"/>
              <w:right w:val="single" w:sz="4" w:space="0" w:color="auto"/>
            </w:tcBorders>
          </w:tcPr>
          <w:p w14:paraId="658EF384"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legal and commercial name of the issuer </w:t>
            </w:r>
          </w:p>
        </w:tc>
        <w:tc>
          <w:tcPr>
            <w:tcW w:w="992" w:type="dxa"/>
            <w:tcBorders>
              <w:top w:val="single" w:sz="4" w:space="0" w:color="auto"/>
              <w:left w:val="single" w:sz="4" w:space="0" w:color="auto"/>
              <w:bottom w:val="single" w:sz="4" w:space="0" w:color="auto"/>
              <w:right w:val="single" w:sz="4" w:space="0" w:color="auto"/>
            </w:tcBorders>
          </w:tcPr>
          <w:p w14:paraId="6AD9314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C93F949"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5F820A0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1853B7EB" w14:textId="1AC75CC7"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63CB8BAE" w14:textId="438E86D7"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4.1.2 </w:t>
            </w:r>
          </w:p>
        </w:tc>
        <w:tc>
          <w:tcPr>
            <w:tcW w:w="4394" w:type="dxa"/>
            <w:tcBorders>
              <w:top w:val="single" w:sz="4" w:space="0" w:color="auto"/>
              <w:left w:val="single" w:sz="4" w:space="0" w:color="auto"/>
              <w:bottom w:val="single" w:sz="4" w:space="0" w:color="auto"/>
              <w:right w:val="single" w:sz="4" w:space="0" w:color="auto"/>
            </w:tcBorders>
          </w:tcPr>
          <w:p w14:paraId="12BA8381"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place of registration of the issuer, its registration number and legal entity identifier (‘LEI’). </w:t>
            </w:r>
          </w:p>
        </w:tc>
        <w:tc>
          <w:tcPr>
            <w:tcW w:w="992" w:type="dxa"/>
            <w:tcBorders>
              <w:top w:val="single" w:sz="4" w:space="0" w:color="auto"/>
              <w:left w:val="single" w:sz="4" w:space="0" w:color="auto"/>
              <w:bottom w:val="single" w:sz="4" w:space="0" w:color="auto"/>
              <w:right w:val="single" w:sz="4" w:space="0" w:color="auto"/>
            </w:tcBorders>
          </w:tcPr>
          <w:p w14:paraId="356FA56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D7CE39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D3EF48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46C712CF" w14:textId="23383F75"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5EC373DB" w14:textId="4DD7CC75"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4.1.3 </w:t>
            </w:r>
          </w:p>
        </w:tc>
        <w:tc>
          <w:tcPr>
            <w:tcW w:w="4394" w:type="dxa"/>
            <w:tcBorders>
              <w:top w:val="single" w:sz="4" w:space="0" w:color="auto"/>
              <w:left w:val="single" w:sz="4" w:space="0" w:color="auto"/>
              <w:bottom w:val="single" w:sz="4" w:space="0" w:color="auto"/>
              <w:right w:val="single" w:sz="4" w:space="0" w:color="auto"/>
            </w:tcBorders>
          </w:tcPr>
          <w:p w14:paraId="0B408F53"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date of incorporation and the length of life of the issuer, except where the period is indefinite. </w:t>
            </w:r>
          </w:p>
        </w:tc>
        <w:tc>
          <w:tcPr>
            <w:tcW w:w="992" w:type="dxa"/>
            <w:tcBorders>
              <w:top w:val="single" w:sz="4" w:space="0" w:color="auto"/>
              <w:left w:val="single" w:sz="4" w:space="0" w:color="auto"/>
              <w:bottom w:val="single" w:sz="4" w:space="0" w:color="auto"/>
              <w:right w:val="single" w:sz="4" w:space="0" w:color="auto"/>
            </w:tcBorders>
          </w:tcPr>
          <w:p w14:paraId="24BDDB5D"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F1A7DAB"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3FE71F94"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4C3D7A67" w14:textId="20B353D3"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5E2956C1" w14:textId="6ACB82FC"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4.1.4 </w:t>
            </w:r>
          </w:p>
        </w:tc>
        <w:tc>
          <w:tcPr>
            <w:tcW w:w="4394" w:type="dxa"/>
            <w:tcBorders>
              <w:top w:val="single" w:sz="4" w:space="0" w:color="auto"/>
              <w:left w:val="single" w:sz="4" w:space="0" w:color="auto"/>
              <w:bottom w:val="single" w:sz="4" w:space="0" w:color="auto"/>
              <w:right w:val="single" w:sz="4" w:space="0" w:color="auto"/>
            </w:tcBorders>
          </w:tcPr>
          <w:p w14:paraId="72F215DB"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domicile and legal form of the issuer, the legislation under which the issuer operates, its country of incorporation, the address, telephone number of its registered office (or principal place of business if different from its registered office) and website of the issuer, if any, with a disclaimer that the information on the website does not form part of </w:t>
            </w:r>
            <w:r w:rsidRPr="00834D35">
              <w:rPr>
                <w:rFonts w:ascii="Arial" w:eastAsiaTheme="minorHAnsi" w:hAnsi="Arial" w:cs="Arial"/>
                <w:color w:val="000000"/>
                <w:sz w:val="18"/>
                <w:szCs w:val="18"/>
                <w:lang w:eastAsia="en-US"/>
              </w:rPr>
              <w:lastRenderedPageBreak/>
              <w:t xml:space="preserve">the prospectus unless that information is incorporated by reference into the prospectus. </w:t>
            </w:r>
          </w:p>
        </w:tc>
        <w:tc>
          <w:tcPr>
            <w:tcW w:w="992" w:type="dxa"/>
            <w:tcBorders>
              <w:top w:val="single" w:sz="4" w:space="0" w:color="auto"/>
              <w:left w:val="single" w:sz="4" w:space="0" w:color="auto"/>
              <w:bottom w:val="single" w:sz="4" w:space="0" w:color="auto"/>
              <w:right w:val="single" w:sz="4" w:space="0" w:color="auto"/>
            </w:tcBorders>
          </w:tcPr>
          <w:p w14:paraId="5536B22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DB7CC3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1AA37E1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68B2876" w14:textId="0D287021"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33DCA698" w14:textId="1C6CFFA0"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4.1.5 </w:t>
            </w:r>
          </w:p>
        </w:tc>
        <w:tc>
          <w:tcPr>
            <w:tcW w:w="4394" w:type="dxa"/>
            <w:tcBorders>
              <w:top w:val="single" w:sz="4" w:space="0" w:color="auto"/>
              <w:left w:val="single" w:sz="4" w:space="0" w:color="auto"/>
              <w:bottom w:val="single" w:sz="4" w:space="0" w:color="auto"/>
              <w:right w:val="single" w:sz="4" w:space="0" w:color="auto"/>
            </w:tcBorders>
          </w:tcPr>
          <w:p w14:paraId="32EFDA01"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Details of any recent </w:t>
            </w:r>
            <w:proofErr w:type="gramStart"/>
            <w:r w:rsidRPr="00834D35">
              <w:rPr>
                <w:rFonts w:ascii="Arial" w:eastAsiaTheme="minorHAnsi" w:hAnsi="Arial" w:cs="Arial"/>
                <w:color w:val="000000"/>
                <w:sz w:val="18"/>
                <w:szCs w:val="18"/>
                <w:lang w:eastAsia="en-US"/>
              </w:rPr>
              <w:t>events particular to</w:t>
            </w:r>
            <w:proofErr w:type="gramEnd"/>
            <w:r w:rsidRPr="00834D35">
              <w:rPr>
                <w:rFonts w:ascii="Arial" w:eastAsiaTheme="minorHAnsi" w:hAnsi="Arial" w:cs="Arial"/>
                <w:color w:val="000000"/>
                <w:sz w:val="18"/>
                <w:szCs w:val="18"/>
                <w:lang w:eastAsia="en-US"/>
              </w:rPr>
              <w:t xml:space="preserve"> the issuer and which are to a material extent relevant to an evaluation of the issuer’s solvency. </w:t>
            </w:r>
          </w:p>
        </w:tc>
        <w:tc>
          <w:tcPr>
            <w:tcW w:w="992" w:type="dxa"/>
            <w:tcBorders>
              <w:top w:val="single" w:sz="4" w:space="0" w:color="auto"/>
              <w:left w:val="single" w:sz="4" w:space="0" w:color="auto"/>
              <w:bottom w:val="single" w:sz="4" w:space="0" w:color="auto"/>
              <w:right w:val="single" w:sz="4" w:space="0" w:color="auto"/>
            </w:tcBorders>
          </w:tcPr>
          <w:p w14:paraId="4E1E303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75CB79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362519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4A391C41" w14:textId="4DE00EA0"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139C1761" w14:textId="1C975D31"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4.1.6 </w:t>
            </w:r>
          </w:p>
        </w:tc>
        <w:tc>
          <w:tcPr>
            <w:tcW w:w="4394" w:type="dxa"/>
            <w:tcBorders>
              <w:top w:val="single" w:sz="4" w:space="0" w:color="auto"/>
              <w:left w:val="single" w:sz="4" w:space="0" w:color="auto"/>
              <w:bottom w:val="single" w:sz="4" w:space="0" w:color="auto"/>
              <w:right w:val="single" w:sz="4" w:space="0" w:color="auto"/>
            </w:tcBorders>
          </w:tcPr>
          <w:p w14:paraId="663995EA"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Credit ratings assigned to an issuer at the request or with the cooperation of the issuer in the rating process. A brief explanation of the meaning of the ratings if this has previously been published by the rating provider. </w:t>
            </w:r>
          </w:p>
        </w:tc>
        <w:tc>
          <w:tcPr>
            <w:tcW w:w="992" w:type="dxa"/>
            <w:tcBorders>
              <w:top w:val="single" w:sz="4" w:space="0" w:color="auto"/>
              <w:left w:val="single" w:sz="4" w:space="0" w:color="auto"/>
              <w:bottom w:val="single" w:sz="4" w:space="0" w:color="auto"/>
              <w:right w:val="single" w:sz="4" w:space="0" w:color="auto"/>
            </w:tcBorders>
          </w:tcPr>
          <w:p w14:paraId="071D7E8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DFCE2C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279DFFF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1CAF9B3F" w14:textId="73729461"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0BFDD92F" w14:textId="75DEDFE3"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4.1.7 </w:t>
            </w:r>
          </w:p>
        </w:tc>
        <w:tc>
          <w:tcPr>
            <w:tcW w:w="4394" w:type="dxa"/>
            <w:tcBorders>
              <w:top w:val="single" w:sz="4" w:space="0" w:color="auto"/>
              <w:left w:val="single" w:sz="4" w:space="0" w:color="auto"/>
              <w:bottom w:val="single" w:sz="4" w:space="0" w:color="auto"/>
              <w:right w:val="single" w:sz="4" w:space="0" w:color="auto"/>
            </w:tcBorders>
          </w:tcPr>
          <w:p w14:paraId="2481A54F"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Information on the material changes in the issuer’s borrowing and funding structure since the last financial year; </w:t>
            </w:r>
          </w:p>
        </w:tc>
        <w:tc>
          <w:tcPr>
            <w:tcW w:w="992" w:type="dxa"/>
            <w:tcBorders>
              <w:top w:val="single" w:sz="4" w:space="0" w:color="auto"/>
              <w:left w:val="single" w:sz="4" w:space="0" w:color="auto"/>
              <w:bottom w:val="single" w:sz="4" w:space="0" w:color="auto"/>
              <w:right w:val="single" w:sz="4" w:space="0" w:color="auto"/>
            </w:tcBorders>
          </w:tcPr>
          <w:p w14:paraId="2AC0B7F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8CFA7B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0DB336A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382E244" w14:textId="2F44E11D"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17E387AC" w14:textId="0240056C"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4.1.8 </w:t>
            </w:r>
          </w:p>
        </w:tc>
        <w:tc>
          <w:tcPr>
            <w:tcW w:w="4394" w:type="dxa"/>
            <w:tcBorders>
              <w:top w:val="single" w:sz="4" w:space="0" w:color="auto"/>
              <w:left w:val="single" w:sz="4" w:space="0" w:color="auto"/>
              <w:bottom w:val="single" w:sz="4" w:space="0" w:color="auto"/>
              <w:right w:val="single" w:sz="4" w:space="0" w:color="auto"/>
            </w:tcBorders>
          </w:tcPr>
          <w:p w14:paraId="0ED8856A"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Description of the expected financing of the issuer’s activities </w:t>
            </w:r>
          </w:p>
        </w:tc>
        <w:tc>
          <w:tcPr>
            <w:tcW w:w="992" w:type="dxa"/>
            <w:tcBorders>
              <w:top w:val="single" w:sz="4" w:space="0" w:color="auto"/>
              <w:left w:val="single" w:sz="4" w:space="0" w:color="auto"/>
              <w:bottom w:val="single" w:sz="4" w:space="0" w:color="auto"/>
              <w:right w:val="single" w:sz="4" w:space="0" w:color="auto"/>
            </w:tcBorders>
          </w:tcPr>
          <w:p w14:paraId="1B88423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60C019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007CE8B6"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E1CE1E6" w14:textId="52F8330E"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6F2F0B5D" w14:textId="494A6A3C"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5 </w:t>
            </w:r>
          </w:p>
        </w:tc>
        <w:tc>
          <w:tcPr>
            <w:tcW w:w="4394" w:type="dxa"/>
            <w:tcBorders>
              <w:top w:val="single" w:sz="4" w:space="0" w:color="auto"/>
              <w:left w:val="single" w:sz="4" w:space="0" w:color="auto"/>
              <w:bottom w:val="single" w:sz="4" w:space="0" w:color="auto"/>
              <w:right w:val="single" w:sz="4" w:space="0" w:color="auto"/>
            </w:tcBorders>
          </w:tcPr>
          <w:p w14:paraId="7AD3E59E"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BUSINESS OVERVIEW </w:t>
            </w:r>
          </w:p>
        </w:tc>
        <w:tc>
          <w:tcPr>
            <w:tcW w:w="992" w:type="dxa"/>
            <w:tcBorders>
              <w:top w:val="single" w:sz="4" w:space="0" w:color="auto"/>
              <w:left w:val="single" w:sz="4" w:space="0" w:color="auto"/>
              <w:bottom w:val="single" w:sz="4" w:space="0" w:color="auto"/>
              <w:right w:val="single" w:sz="4" w:space="0" w:color="auto"/>
            </w:tcBorders>
          </w:tcPr>
          <w:p w14:paraId="22AEC32B"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F019CF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16CB8EF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7AF8176B" w14:textId="1A3911E5"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25130601" w14:textId="6D1CC0BF"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5.1 </w:t>
            </w:r>
          </w:p>
        </w:tc>
        <w:tc>
          <w:tcPr>
            <w:tcW w:w="4394" w:type="dxa"/>
            <w:tcBorders>
              <w:top w:val="single" w:sz="4" w:space="0" w:color="auto"/>
              <w:left w:val="single" w:sz="4" w:space="0" w:color="auto"/>
              <w:bottom w:val="single" w:sz="4" w:space="0" w:color="auto"/>
              <w:right w:val="single" w:sz="4" w:space="0" w:color="auto"/>
            </w:tcBorders>
          </w:tcPr>
          <w:p w14:paraId="65DA18D9"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Principal activities </w:t>
            </w:r>
          </w:p>
        </w:tc>
        <w:tc>
          <w:tcPr>
            <w:tcW w:w="992" w:type="dxa"/>
            <w:tcBorders>
              <w:top w:val="single" w:sz="4" w:space="0" w:color="auto"/>
              <w:left w:val="single" w:sz="4" w:space="0" w:color="auto"/>
              <w:bottom w:val="single" w:sz="4" w:space="0" w:color="auto"/>
              <w:right w:val="single" w:sz="4" w:space="0" w:color="auto"/>
            </w:tcBorders>
          </w:tcPr>
          <w:p w14:paraId="088E474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7286FF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1A70487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E2C48A3" w14:textId="6098177A"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1AA754DE" w14:textId="031B484B"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5.1.1 </w:t>
            </w:r>
          </w:p>
        </w:tc>
        <w:tc>
          <w:tcPr>
            <w:tcW w:w="4394" w:type="dxa"/>
            <w:tcBorders>
              <w:top w:val="single" w:sz="4" w:space="0" w:color="auto"/>
              <w:left w:val="single" w:sz="4" w:space="0" w:color="auto"/>
              <w:bottom w:val="single" w:sz="4" w:space="0" w:color="auto"/>
              <w:right w:val="single" w:sz="4" w:space="0" w:color="auto"/>
            </w:tcBorders>
          </w:tcPr>
          <w:p w14:paraId="206F78D4"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 description of the issuer’s principal activities, including: </w:t>
            </w:r>
          </w:p>
          <w:p w14:paraId="6F7B2EFC" w14:textId="156B4B21" w:rsidR="00634D2D" w:rsidRPr="00834D35" w:rsidRDefault="00634D2D" w:rsidP="00EF22EB">
            <w:pPr>
              <w:pStyle w:val="ListParagraph"/>
              <w:numPr>
                <w:ilvl w:val="0"/>
                <w:numId w:val="30"/>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main categories of products sold and/or services performed; </w:t>
            </w:r>
          </w:p>
          <w:p w14:paraId="63C66ECF" w14:textId="76579EF3" w:rsidR="00634D2D" w:rsidRPr="00834D35" w:rsidRDefault="00634D2D" w:rsidP="00EF22EB">
            <w:pPr>
              <w:pStyle w:val="ListParagraph"/>
              <w:numPr>
                <w:ilvl w:val="0"/>
                <w:numId w:val="30"/>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an indication of any significant new products or activities; </w:t>
            </w:r>
          </w:p>
          <w:p w14:paraId="66A76075" w14:textId="3DF56D51" w:rsidR="00634D2D" w:rsidRPr="00834D35" w:rsidRDefault="00634D2D" w:rsidP="00EF22EB">
            <w:pPr>
              <w:pStyle w:val="ListParagraph"/>
              <w:numPr>
                <w:ilvl w:val="0"/>
                <w:numId w:val="30"/>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principal markets in which the issuer competes. </w:t>
            </w:r>
          </w:p>
        </w:tc>
        <w:tc>
          <w:tcPr>
            <w:tcW w:w="992" w:type="dxa"/>
            <w:tcBorders>
              <w:top w:val="single" w:sz="4" w:space="0" w:color="auto"/>
              <w:left w:val="single" w:sz="4" w:space="0" w:color="auto"/>
              <w:bottom w:val="single" w:sz="4" w:space="0" w:color="auto"/>
              <w:right w:val="single" w:sz="4" w:space="0" w:color="auto"/>
            </w:tcBorders>
          </w:tcPr>
          <w:p w14:paraId="36C1B1C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5B0140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45C989E6"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0471985B" w14:textId="5FBC0994"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43EB70C7" w14:textId="48B114D3"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5.2 </w:t>
            </w:r>
          </w:p>
        </w:tc>
        <w:tc>
          <w:tcPr>
            <w:tcW w:w="4394" w:type="dxa"/>
            <w:tcBorders>
              <w:top w:val="single" w:sz="4" w:space="0" w:color="auto"/>
              <w:left w:val="single" w:sz="4" w:space="0" w:color="auto"/>
              <w:bottom w:val="single" w:sz="4" w:space="0" w:color="auto"/>
              <w:right w:val="single" w:sz="4" w:space="0" w:color="auto"/>
            </w:tcBorders>
          </w:tcPr>
          <w:p w14:paraId="3A525AC9"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basis for any statements made by the issuer regarding its competitive position. </w:t>
            </w:r>
          </w:p>
        </w:tc>
        <w:tc>
          <w:tcPr>
            <w:tcW w:w="992" w:type="dxa"/>
            <w:tcBorders>
              <w:top w:val="single" w:sz="4" w:space="0" w:color="auto"/>
              <w:left w:val="single" w:sz="4" w:space="0" w:color="auto"/>
              <w:bottom w:val="single" w:sz="4" w:space="0" w:color="auto"/>
              <w:right w:val="single" w:sz="4" w:space="0" w:color="auto"/>
            </w:tcBorders>
          </w:tcPr>
          <w:p w14:paraId="3022169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CC12EE9"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4BC8687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E940FD1" w14:textId="625CF7DF"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14EE8B8A" w14:textId="46DA664C"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6 </w:t>
            </w:r>
          </w:p>
        </w:tc>
        <w:tc>
          <w:tcPr>
            <w:tcW w:w="4394" w:type="dxa"/>
            <w:tcBorders>
              <w:top w:val="single" w:sz="4" w:space="0" w:color="auto"/>
              <w:left w:val="single" w:sz="4" w:space="0" w:color="auto"/>
              <w:bottom w:val="single" w:sz="4" w:space="0" w:color="auto"/>
              <w:right w:val="single" w:sz="4" w:space="0" w:color="auto"/>
            </w:tcBorders>
          </w:tcPr>
          <w:p w14:paraId="1E6BF49E"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ORGANISATIONAL STRUCTURE </w:t>
            </w:r>
          </w:p>
        </w:tc>
        <w:tc>
          <w:tcPr>
            <w:tcW w:w="992" w:type="dxa"/>
            <w:tcBorders>
              <w:top w:val="single" w:sz="4" w:space="0" w:color="auto"/>
              <w:left w:val="single" w:sz="4" w:space="0" w:color="auto"/>
              <w:bottom w:val="single" w:sz="4" w:space="0" w:color="auto"/>
              <w:right w:val="single" w:sz="4" w:space="0" w:color="auto"/>
            </w:tcBorders>
          </w:tcPr>
          <w:p w14:paraId="440FB3B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95C9FF6"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239E00E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49061194" w14:textId="7F955E0E"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012F842B" w14:textId="4C78C99B"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6.1 </w:t>
            </w:r>
          </w:p>
        </w:tc>
        <w:tc>
          <w:tcPr>
            <w:tcW w:w="4394" w:type="dxa"/>
            <w:tcBorders>
              <w:top w:val="single" w:sz="4" w:space="0" w:color="auto"/>
              <w:left w:val="single" w:sz="4" w:space="0" w:color="auto"/>
              <w:bottom w:val="single" w:sz="4" w:space="0" w:color="auto"/>
              <w:right w:val="single" w:sz="4" w:space="0" w:color="auto"/>
            </w:tcBorders>
          </w:tcPr>
          <w:p w14:paraId="16EE24CA"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If the issuer is part of a group, a brief description of the group and the issuer’s position within the group. This may be in the form of, or accompanied by, a diagram of the organisational structure if this helps to clarify the structure. </w:t>
            </w:r>
          </w:p>
        </w:tc>
        <w:tc>
          <w:tcPr>
            <w:tcW w:w="992" w:type="dxa"/>
            <w:tcBorders>
              <w:top w:val="single" w:sz="4" w:space="0" w:color="auto"/>
              <w:left w:val="single" w:sz="4" w:space="0" w:color="auto"/>
              <w:bottom w:val="single" w:sz="4" w:space="0" w:color="auto"/>
              <w:right w:val="single" w:sz="4" w:space="0" w:color="auto"/>
            </w:tcBorders>
          </w:tcPr>
          <w:p w14:paraId="659EDBCD"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C8C10F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20462B82"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55AD06D3" w14:textId="3EFFEDC6"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08DD48F4" w14:textId="50DB1FD1"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6.2 </w:t>
            </w:r>
          </w:p>
        </w:tc>
        <w:tc>
          <w:tcPr>
            <w:tcW w:w="4394" w:type="dxa"/>
            <w:tcBorders>
              <w:top w:val="single" w:sz="4" w:space="0" w:color="auto"/>
              <w:left w:val="single" w:sz="4" w:space="0" w:color="auto"/>
              <w:bottom w:val="single" w:sz="4" w:space="0" w:color="auto"/>
              <w:right w:val="single" w:sz="4" w:space="0" w:color="auto"/>
            </w:tcBorders>
          </w:tcPr>
          <w:p w14:paraId="2C445CE8"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If the issuer is dependent upon other entities within the group, this must be clearly stated together with an explanation of this dependence. </w:t>
            </w:r>
          </w:p>
        </w:tc>
        <w:tc>
          <w:tcPr>
            <w:tcW w:w="992" w:type="dxa"/>
            <w:tcBorders>
              <w:top w:val="single" w:sz="4" w:space="0" w:color="auto"/>
              <w:left w:val="single" w:sz="4" w:space="0" w:color="auto"/>
              <w:bottom w:val="single" w:sz="4" w:space="0" w:color="auto"/>
              <w:right w:val="single" w:sz="4" w:space="0" w:color="auto"/>
            </w:tcBorders>
          </w:tcPr>
          <w:p w14:paraId="6846C8A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F4822D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7B518CB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CE5DD48" w14:textId="028FFC69"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69EB9E9F" w14:textId="43935E08"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7 </w:t>
            </w:r>
          </w:p>
        </w:tc>
        <w:tc>
          <w:tcPr>
            <w:tcW w:w="4394" w:type="dxa"/>
            <w:tcBorders>
              <w:top w:val="single" w:sz="4" w:space="0" w:color="auto"/>
              <w:left w:val="single" w:sz="4" w:space="0" w:color="auto"/>
              <w:bottom w:val="single" w:sz="4" w:space="0" w:color="auto"/>
              <w:right w:val="single" w:sz="4" w:space="0" w:color="auto"/>
            </w:tcBorders>
          </w:tcPr>
          <w:p w14:paraId="0F312F07"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TREND INFORMATION </w:t>
            </w:r>
          </w:p>
        </w:tc>
        <w:tc>
          <w:tcPr>
            <w:tcW w:w="992" w:type="dxa"/>
            <w:tcBorders>
              <w:top w:val="single" w:sz="4" w:space="0" w:color="auto"/>
              <w:left w:val="single" w:sz="4" w:space="0" w:color="auto"/>
              <w:bottom w:val="single" w:sz="4" w:space="0" w:color="auto"/>
              <w:right w:val="single" w:sz="4" w:space="0" w:color="auto"/>
            </w:tcBorders>
          </w:tcPr>
          <w:p w14:paraId="503AE70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62FEDE9"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8D2F6F9"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6793F14" w14:textId="00599C75"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496706C5" w14:textId="01606CF8"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7.1 </w:t>
            </w:r>
          </w:p>
        </w:tc>
        <w:tc>
          <w:tcPr>
            <w:tcW w:w="4394" w:type="dxa"/>
            <w:tcBorders>
              <w:top w:val="single" w:sz="4" w:space="0" w:color="auto"/>
              <w:left w:val="single" w:sz="4" w:space="0" w:color="auto"/>
              <w:bottom w:val="single" w:sz="4" w:space="0" w:color="auto"/>
              <w:right w:val="single" w:sz="4" w:space="0" w:color="auto"/>
            </w:tcBorders>
          </w:tcPr>
          <w:p w14:paraId="107B97E6"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 description of: </w:t>
            </w:r>
          </w:p>
          <w:p w14:paraId="707F0E58" w14:textId="1B3892E7" w:rsidR="00634D2D" w:rsidRPr="00834D35" w:rsidRDefault="00634D2D" w:rsidP="00EF22EB">
            <w:pPr>
              <w:pStyle w:val="ListParagraph"/>
              <w:numPr>
                <w:ilvl w:val="0"/>
                <w:numId w:val="33"/>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any material adverse change in the prospects of the issuer since the date of its last published audited financial statements; </w:t>
            </w:r>
          </w:p>
          <w:p w14:paraId="69841B17" w14:textId="22705883" w:rsidR="00634D2D" w:rsidRPr="00834D35" w:rsidRDefault="00634D2D" w:rsidP="00EF22EB">
            <w:pPr>
              <w:pStyle w:val="ListParagraph"/>
              <w:numPr>
                <w:ilvl w:val="0"/>
                <w:numId w:val="33"/>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any significant change in the financial performance of the group since the end of the last financial period for which financial information has been published to the date of the registration document. </w:t>
            </w:r>
          </w:p>
          <w:p w14:paraId="0C104023"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If neither of the above are applicable then the issuer shall include an appropriate statement to the effect that no such changes exist. </w:t>
            </w:r>
          </w:p>
        </w:tc>
        <w:tc>
          <w:tcPr>
            <w:tcW w:w="992" w:type="dxa"/>
            <w:tcBorders>
              <w:top w:val="single" w:sz="4" w:space="0" w:color="auto"/>
              <w:left w:val="single" w:sz="4" w:space="0" w:color="auto"/>
              <w:bottom w:val="single" w:sz="4" w:space="0" w:color="auto"/>
              <w:right w:val="single" w:sz="4" w:space="0" w:color="auto"/>
            </w:tcBorders>
          </w:tcPr>
          <w:p w14:paraId="558ED1D2"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11AC784"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08D3F18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76A616E" w14:textId="45E4696F"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5475BD3A" w14:textId="6B4129FA"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7.2 </w:t>
            </w:r>
          </w:p>
        </w:tc>
        <w:tc>
          <w:tcPr>
            <w:tcW w:w="4394" w:type="dxa"/>
            <w:tcBorders>
              <w:top w:val="single" w:sz="4" w:space="0" w:color="auto"/>
              <w:left w:val="single" w:sz="4" w:space="0" w:color="auto"/>
              <w:bottom w:val="single" w:sz="4" w:space="0" w:color="auto"/>
              <w:right w:val="single" w:sz="4" w:space="0" w:color="auto"/>
            </w:tcBorders>
          </w:tcPr>
          <w:p w14:paraId="43E9478A" w14:textId="738FCC79"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Information on any known trends, uncertainties, demands, commitments or events that are reasonably likely to have a material effect on the </w:t>
            </w:r>
            <w:r w:rsidRPr="00834D35">
              <w:rPr>
                <w:rFonts w:ascii="Arial" w:hAnsi="Arial" w:cs="Arial"/>
                <w:sz w:val="18"/>
                <w:szCs w:val="18"/>
              </w:rPr>
              <w:t xml:space="preserve">issuer’s prospects for at least the current financial year. </w:t>
            </w:r>
          </w:p>
        </w:tc>
        <w:tc>
          <w:tcPr>
            <w:tcW w:w="992" w:type="dxa"/>
            <w:tcBorders>
              <w:top w:val="single" w:sz="4" w:space="0" w:color="auto"/>
              <w:left w:val="single" w:sz="4" w:space="0" w:color="auto"/>
              <w:bottom w:val="single" w:sz="4" w:space="0" w:color="auto"/>
              <w:right w:val="single" w:sz="4" w:space="0" w:color="auto"/>
            </w:tcBorders>
          </w:tcPr>
          <w:p w14:paraId="1CD78ED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872C9B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6AD967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7C138237" w14:textId="2C71306A"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298913E6" w14:textId="078B2C61"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lastRenderedPageBreak/>
              <w:t xml:space="preserve">8 </w:t>
            </w:r>
          </w:p>
        </w:tc>
        <w:tc>
          <w:tcPr>
            <w:tcW w:w="4394" w:type="dxa"/>
            <w:tcBorders>
              <w:top w:val="single" w:sz="4" w:space="0" w:color="auto"/>
              <w:left w:val="single" w:sz="4" w:space="0" w:color="auto"/>
              <w:bottom w:val="single" w:sz="4" w:space="0" w:color="auto"/>
              <w:right w:val="single" w:sz="4" w:space="0" w:color="auto"/>
            </w:tcBorders>
          </w:tcPr>
          <w:p w14:paraId="0ACD2BBC"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PROFIT FORECASTS OR ESTIMATES </w:t>
            </w:r>
          </w:p>
        </w:tc>
        <w:tc>
          <w:tcPr>
            <w:tcW w:w="992" w:type="dxa"/>
            <w:tcBorders>
              <w:top w:val="single" w:sz="4" w:space="0" w:color="auto"/>
              <w:left w:val="single" w:sz="4" w:space="0" w:color="auto"/>
              <w:bottom w:val="single" w:sz="4" w:space="0" w:color="auto"/>
              <w:right w:val="single" w:sz="4" w:space="0" w:color="auto"/>
            </w:tcBorders>
          </w:tcPr>
          <w:p w14:paraId="09F0E48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7E5FA0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0D5B114D"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5A81CECB" w14:textId="79B372B0"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13777DA8" w14:textId="3DF44B64"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8.1 </w:t>
            </w:r>
          </w:p>
        </w:tc>
        <w:tc>
          <w:tcPr>
            <w:tcW w:w="4394" w:type="dxa"/>
            <w:tcBorders>
              <w:top w:val="single" w:sz="4" w:space="0" w:color="auto"/>
              <w:left w:val="single" w:sz="4" w:space="0" w:color="auto"/>
              <w:bottom w:val="single" w:sz="4" w:space="0" w:color="auto"/>
              <w:right w:val="single" w:sz="4" w:space="0" w:color="auto"/>
            </w:tcBorders>
          </w:tcPr>
          <w:p w14:paraId="6A1C4B4E"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Where an issuer includes on a voluntary basis a profit forecast or a profit estimate (which is still outstanding and valid), that forecast or estimate included in the registration document must contain the information set out in items 8.2 and 8.3. If a profit forecast or profit estimate has been published and is still outstanding, but no longer valid, then provide a statement to that effect and an explanation of why such profit forecast or estimate is no longer valid. Such an invalid forecast or estimate is not subject to the requirements in items 8.2 and 8.3. </w:t>
            </w:r>
          </w:p>
        </w:tc>
        <w:tc>
          <w:tcPr>
            <w:tcW w:w="992" w:type="dxa"/>
            <w:tcBorders>
              <w:top w:val="single" w:sz="4" w:space="0" w:color="auto"/>
              <w:left w:val="single" w:sz="4" w:space="0" w:color="auto"/>
              <w:bottom w:val="single" w:sz="4" w:space="0" w:color="auto"/>
              <w:right w:val="single" w:sz="4" w:space="0" w:color="auto"/>
            </w:tcBorders>
          </w:tcPr>
          <w:p w14:paraId="4864B95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25552CD"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7443C13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8E56BEE" w14:textId="66588823"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40E72B52" w14:textId="5FFD0C2D"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8.2 </w:t>
            </w:r>
          </w:p>
        </w:tc>
        <w:tc>
          <w:tcPr>
            <w:tcW w:w="4394" w:type="dxa"/>
            <w:tcBorders>
              <w:top w:val="single" w:sz="4" w:space="0" w:color="auto"/>
              <w:left w:val="single" w:sz="4" w:space="0" w:color="auto"/>
              <w:bottom w:val="single" w:sz="4" w:space="0" w:color="auto"/>
              <w:right w:val="single" w:sz="4" w:space="0" w:color="auto"/>
            </w:tcBorders>
          </w:tcPr>
          <w:p w14:paraId="7F75C001"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Where an issuer chooses to include a new profit forecast or a new profit estimate, or where the issuer includes a previously published profit forecast or a previously published profit estimate pursuant to item 8.1, the profit forecast or estimate shall be clear and unambiguous and contain a statement setting out the principal assumptions upon which the issuer has based its forecast, or estimate. </w:t>
            </w:r>
          </w:p>
          <w:p w14:paraId="6353D0AF"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forecast or estimate shall comply with the following principles: </w:t>
            </w:r>
          </w:p>
          <w:p w14:paraId="2179C030" w14:textId="13118CE9" w:rsidR="00634D2D" w:rsidRPr="00834D35" w:rsidRDefault="00634D2D" w:rsidP="00EF22EB">
            <w:pPr>
              <w:pStyle w:val="ListParagraph"/>
              <w:numPr>
                <w:ilvl w:val="0"/>
                <w:numId w:val="35"/>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 </w:t>
            </w:r>
          </w:p>
          <w:p w14:paraId="6FF056D3" w14:textId="77777777" w:rsidR="00015C33" w:rsidRPr="00834D35" w:rsidRDefault="00634D2D" w:rsidP="00015C33">
            <w:pPr>
              <w:pStyle w:val="ListParagraph"/>
              <w:numPr>
                <w:ilvl w:val="0"/>
                <w:numId w:val="35"/>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assumptions must be reasonable, readily understandable by investors, specific and precise and not relate to the general accuracy of the estimates underlying the forecast; and </w:t>
            </w:r>
          </w:p>
          <w:p w14:paraId="200E8A89" w14:textId="3481BB04" w:rsidR="00634D2D" w:rsidRPr="00834D35" w:rsidRDefault="00634D2D" w:rsidP="00015C33">
            <w:pPr>
              <w:pStyle w:val="ListParagraph"/>
              <w:numPr>
                <w:ilvl w:val="0"/>
                <w:numId w:val="35"/>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In the case of a forecast, the assumptions shall draw the investor’s attention to those uncertain factors which could materially change the outcome of the forecast. </w:t>
            </w:r>
          </w:p>
        </w:tc>
        <w:tc>
          <w:tcPr>
            <w:tcW w:w="992" w:type="dxa"/>
            <w:tcBorders>
              <w:top w:val="single" w:sz="4" w:space="0" w:color="auto"/>
              <w:left w:val="single" w:sz="4" w:space="0" w:color="auto"/>
              <w:bottom w:val="single" w:sz="4" w:space="0" w:color="auto"/>
              <w:right w:val="single" w:sz="4" w:space="0" w:color="auto"/>
            </w:tcBorders>
          </w:tcPr>
          <w:p w14:paraId="06DE93B6"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3598CA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D6B9E39"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79A71AC" w14:textId="54A1E60B"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446A7236" w14:textId="09C8F3D1"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8.3 </w:t>
            </w:r>
          </w:p>
        </w:tc>
        <w:tc>
          <w:tcPr>
            <w:tcW w:w="4394" w:type="dxa"/>
            <w:tcBorders>
              <w:top w:val="single" w:sz="4" w:space="0" w:color="auto"/>
              <w:left w:val="single" w:sz="4" w:space="0" w:color="auto"/>
              <w:bottom w:val="single" w:sz="4" w:space="0" w:color="auto"/>
              <w:right w:val="single" w:sz="4" w:space="0" w:color="auto"/>
            </w:tcBorders>
          </w:tcPr>
          <w:p w14:paraId="42AC58E9"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prospectus shall include a statement that the profit forecast or estimate has been compiled and prepared on a basis which is both: </w:t>
            </w:r>
          </w:p>
          <w:p w14:paraId="54473774" w14:textId="77777777" w:rsidR="00015C33" w:rsidRPr="00834D35" w:rsidRDefault="00634D2D" w:rsidP="00015C33">
            <w:pPr>
              <w:pStyle w:val="ListParagraph"/>
              <w:numPr>
                <w:ilvl w:val="0"/>
                <w:numId w:val="36"/>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comparable with the historical financial information; </w:t>
            </w:r>
          </w:p>
          <w:p w14:paraId="384AC5FE" w14:textId="60310986" w:rsidR="00634D2D" w:rsidRPr="00834D35" w:rsidRDefault="00634D2D" w:rsidP="00015C33">
            <w:pPr>
              <w:pStyle w:val="ListParagraph"/>
              <w:numPr>
                <w:ilvl w:val="0"/>
                <w:numId w:val="36"/>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consistent with the issuer’s accounting policies. </w:t>
            </w:r>
          </w:p>
        </w:tc>
        <w:tc>
          <w:tcPr>
            <w:tcW w:w="992" w:type="dxa"/>
            <w:tcBorders>
              <w:top w:val="single" w:sz="4" w:space="0" w:color="auto"/>
              <w:left w:val="single" w:sz="4" w:space="0" w:color="auto"/>
              <w:bottom w:val="single" w:sz="4" w:space="0" w:color="auto"/>
              <w:right w:val="single" w:sz="4" w:space="0" w:color="auto"/>
            </w:tcBorders>
          </w:tcPr>
          <w:p w14:paraId="493B57AB"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36C8F24"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2031F3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01B7D1B2" w14:textId="2CD17E69"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6B07A980" w14:textId="0132460E"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9 </w:t>
            </w:r>
          </w:p>
        </w:tc>
        <w:tc>
          <w:tcPr>
            <w:tcW w:w="4394" w:type="dxa"/>
            <w:tcBorders>
              <w:top w:val="single" w:sz="4" w:space="0" w:color="auto"/>
              <w:left w:val="single" w:sz="4" w:space="0" w:color="auto"/>
              <w:bottom w:val="single" w:sz="4" w:space="0" w:color="auto"/>
              <w:right w:val="single" w:sz="4" w:space="0" w:color="auto"/>
            </w:tcBorders>
          </w:tcPr>
          <w:p w14:paraId="1FFE816C"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ADMINISTRATIVE, MANAGEMENT, AND SUPERVISORY BODIES </w:t>
            </w:r>
          </w:p>
        </w:tc>
        <w:tc>
          <w:tcPr>
            <w:tcW w:w="992" w:type="dxa"/>
            <w:tcBorders>
              <w:top w:val="single" w:sz="4" w:space="0" w:color="auto"/>
              <w:left w:val="single" w:sz="4" w:space="0" w:color="auto"/>
              <w:bottom w:val="single" w:sz="4" w:space="0" w:color="auto"/>
              <w:right w:val="single" w:sz="4" w:space="0" w:color="auto"/>
            </w:tcBorders>
          </w:tcPr>
          <w:p w14:paraId="69244E4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450F81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7BEB5E8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24B029B" w14:textId="0F965FD3"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03F45BC1" w14:textId="7D3E47C1"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9.1 </w:t>
            </w:r>
          </w:p>
        </w:tc>
        <w:tc>
          <w:tcPr>
            <w:tcW w:w="4394" w:type="dxa"/>
            <w:tcBorders>
              <w:top w:val="single" w:sz="4" w:space="0" w:color="auto"/>
              <w:left w:val="single" w:sz="4" w:space="0" w:color="auto"/>
              <w:bottom w:val="single" w:sz="4" w:space="0" w:color="auto"/>
              <w:right w:val="single" w:sz="4" w:space="0" w:color="auto"/>
            </w:tcBorders>
          </w:tcPr>
          <w:p w14:paraId="5070B688"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Names, business addresses and functions within the issuer of the following persons and an indication of the principal activities performed by them outside of that issuer where these are significant with respect to that issuer: </w:t>
            </w:r>
          </w:p>
          <w:p w14:paraId="4A355C77" w14:textId="77777777" w:rsidR="00015C33" w:rsidRPr="00834D35" w:rsidRDefault="00634D2D" w:rsidP="00015C33">
            <w:pPr>
              <w:pStyle w:val="ListParagraph"/>
              <w:numPr>
                <w:ilvl w:val="0"/>
                <w:numId w:val="37"/>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members of the administrative, management or supervisory bodies; </w:t>
            </w:r>
          </w:p>
          <w:p w14:paraId="797BED49" w14:textId="58B59C2D" w:rsidR="00634D2D" w:rsidRPr="00834D35" w:rsidRDefault="00634D2D" w:rsidP="00015C33">
            <w:pPr>
              <w:pStyle w:val="ListParagraph"/>
              <w:numPr>
                <w:ilvl w:val="0"/>
                <w:numId w:val="37"/>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partners with unlimited liability, in the case of a limited </w:t>
            </w:r>
            <w:r w:rsidRPr="00834D35">
              <w:rPr>
                <w:rFonts w:ascii="Arial" w:hAnsi="Arial" w:cs="Arial"/>
                <w:sz w:val="18"/>
                <w:szCs w:val="18"/>
              </w:rPr>
              <w:t xml:space="preserve">partnership with a share capital. </w:t>
            </w:r>
          </w:p>
        </w:tc>
        <w:tc>
          <w:tcPr>
            <w:tcW w:w="992" w:type="dxa"/>
            <w:tcBorders>
              <w:top w:val="single" w:sz="4" w:space="0" w:color="auto"/>
              <w:left w:val="single" w:sz="4" w:space="0" w:color="auto"/>
              <w:bottom w:val="single" w:sz="4" w:space="0" w:color="auto"/>
              <w:right w:val="single" w:sz="4" w:space="0" w:color="auto"/>
            </w:tcBorders>
          </w:tcPr>
          <w:p w14:paraId="2D13CDF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395537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16E6E20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7B1261F7" w14:textId="32798E6B"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0D84BE20" w14:textId="5953A51B"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9.2 </w:t>
            </w:r>
          </w:p>
        </w:tc>
        <w:tc>
          <w:tcPr>
            <w:tcW w:w="4394" w:type="dxa"/>
            <w:tcBorders>
              <w:top w:val="single" w:sz="4" w:space="0" w:color="auto"/>
              <w:left w:val="single" w:sz="4" w:space="0" w:color="auto"/>
              <w:bottom w:val="single" w:sz="4" w:space="0" w:color="auto"/>
              <w:right w:val="single" w:sz="4" w:space="0" w:color="auto"/>
            </w:tcBorders>
          </w:tcPr>
          <w:p w14:paraId="387E9882"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Administrative, management, and supervisory bodies’ conflicts of interests </w:t>
            </w:r>
          </w:p>
          <w:p w14:paraId="6BAD869F"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lastRenderedPageBreak/>
              <w:t xml:space="preserve">Potential conflicts of interests between any duties to the issuer, of the persons referred to in item 9.1, and their private interests and or other duties must be clearly stated. </w:t>
            </w:r>
            <w:proofErr w:type="gramStart"/>
            <w:r w:rsidRPr="00834D35">
              <w:rPr>
                <w:rFonts w:ascii="Arial" w:eastAsiaTheme="minorHAnsi" w:hAnsi="Arial" w:cs="Arial"/>
                <w:color w:val="000000"/>
                <w:sz w:val="18"/>
                <w:szCs w:val="18"/>
                <w:lang w:eastAsia="en-US"/>
              </w:rPr>
              <w:t>In the event that</w:t>
            </w:r>
            <w:proofErr w:type="gramEnd"/>
            <w:r w:rsidRPr="00834D35">
              <w:rPr>
                <w:rFonts w:ascii="Arial" w:eastAsiaTheme="minorHAnsi" w:hAnsi="Arial" w:cs="Arial"/>
                <w:color w:val="000000"/>
                <w:sz w:val="18"/>
                <w:szCs w:val="18"/>
                <w:lang w:eastAsia="en-US"/>
              </w:rPr>
              <w:t xml:space="preserve"> there are no such conflicts, a statement to that effect must be made. </w:t>
            </w:r>
          </w:p>
        </w:tc>
        <w:tc>
          <w:tcPr>
            <w:tcW w:w="992" w:type="dxa"/>
            <w:tcBorders>
              <w:top w:val="single" w:sz="4" w:space="0" w:color="auto"/>
              <w:left w:val="single" w:sz="4" w:space="0" w:color="auto"/>
              <w:bottom w:val="single" w:sz="4" w:space="0" w:color="auto"/>
              <w:right w:val="single" w:sz="4" w:space="0" w:color="auto"/>
            </w:tcBorders>
          </w:tcPr>
          <w:p w14:paraId="7EAD3E2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82EA47B"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7C5965F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560D6B6" w14:textId="0CAA1020"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0B4549A1" w14:textId="00B63F23"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10 </w:t>
            </w:r>
          </w:p>
        </w:tc>
        <w:tc>
          <w:tcPr>
            <w:tcW w:w="4394" w:type="dxa"/>
            <w:tcBorders>
              <w:top w:val="single" w:sz="4" w:space="0" w:color="auto"/>
              <w:left w:val="single" w:sz="4" w:space="0" w:color="auto"/>
              <w:bottom w:val="single" w:sz="4" w:space="0" w:color="auto"/>
              <w:right w:val="single" w:sz="4" w:space="0" w:color="auto"/>
            </w:tcBorders>
          </w:tcPr>
          <w:p w14:paraId="7C265391"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MAJOR SHAREHOLDERS </w:t>
            </w:r>
          </w:p>
        </w:tc>
        <w:tc>
          <w:tcPr>
            <w:tcW w:w="992" w:type="dxa"/>
            <w:tcBorders>
              <w:top w:val="single" w:sz="4" w:space="0" w:color="auto"/>
              <w:left w:val="single" w:sz="4" w:space="0" w:color="auto"/>
              <w:bottom w:val="single" w:sz="4" w:space="0" w:color="auto"/>
              <w:right w:val="single" w:sz="4" w:space="0" w:color="auto"/>
            </w:tcBorders>
          </w:tcPr>
          <w:p w14:paraId="78DE658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2DDC6F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7339491B"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B1E9291" w14:textId="77B67476"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4F19F9D4" w14:textId="78F1EF85"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10.1 </w:t>
            </w:r>
          </w:p>
        </w:tc>
        <w:tc>
          <w:tcPr>
            <w:tcW w:w="4394" w:type="dxa"/>
            <w:tcBorders>
              <w:top w:val="single" w:sz="4" w:space="0" w:color="auto"/>
              <w:left w:val="single" w:sz="4" w:space="0" w:color="auto"/>
              <w:bottom w:val="single" w:sz="4" w:space="0" w:color="auto"/>
              <w:right w:val="single" w:sz="4" w:space="0" w:color="auto"/>
            </w:tcBorders>
          </w:tcPr>
          <w:p w14:paraId="32922191"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To the extent known to the issuer, state whether the issuer is directly or indirectly owned or controlled and by whom and describe the nature of such control and describe the measures in place to ensure that such control is not abused. </w:t>
            </w:r>
          </w:p>
        </w:tc>
        <w:tc>
          <w:tcPr>
            <w:tcW w:w="992" w:type="dxa"/>
            <w:tcBorders>
              <w:top w:val="single" w:sz="4" w:space="0" w:color="auto"/>
              <w:left w:val="single" w:sz="4" w:space="0" w:color="auto"/>
              <w:bottom w:val="single" w:sz="4" w:space="0" w:color="auto"/>
              <w:right w:val="single" w:sz="4" w:space="0" w:color="auto"/>
            </w:tcBorders>
          </w:tcPr>
          <w:p w14:paraId="06058242"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1358BC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2D9EC33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5D6D9604" w14:textId="3EB2C6B4"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4EE984D0" w14:textId="747EC50A"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10.2 </w:t>
            </w:r>
          </w:p>
        </w:tc>
        <w:tc>
          <w:tcPr>
            <w:tcW w:w="4394" w:type="dxa"/>
            <w:tcBorders>
              <w:top w:val="single" w:sz="4" w:space="0" w:color="auto"/>
              <w:left w:val="single" w:sz="4" w:space="0" w:color="auto"/>
              <w:bottom w:val="single" w:sz="4" w:space="0" w:color="auto"/>
              <w:right w:val="single" w:sz="4" w:space="0" w:color="auto"/>
            </w:tcBorders>
          </w:tcPr>
          <w:p w14:paraId="6F990BFB"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 description of any arrangements, known to the issuer, the operation of which may at a subsequent date result in a change in control of the issuer. </w:t>
            </w:r>
          </w:p>
        </w:tc>
        <w:tc>
          <w:tcPr>
            <w:tcW w:w="992" w:type="dxa"/>
            <w:tcBorders>
              <w:top w:val="single" w:sz="4" w:space="0" w:color="auto"/>
              <w:left w:val="single" w:sz="4" w:space="0" w:color="auto"/>
              <w:bottom w:val="single" w:sz="4" w:space="0" w:color="auto"/>
              <w:right w:val="single" w:sz="4" w:space="0" w:color="auto"/>
            </w:tcBorders>
          </w:tcPr>
          <w:p w14:paraId="188B23F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6A89D8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B7DBF0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194DD415" w14:textId="521769DB"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5020FEC7" w14:textId="6AA0D018"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 </w:t>
            </w:r>
          </w:p>
        </w:tc>
        <w:tc>
          <w:tcPr>
            <w:tcW w:w="4394" w:type="dxa"/>
            <w:tcBorders>
              <w:top w:val="single" w:sz="4" w:space="0" w:color="auto"/>
              <w:left w:val="single" w:sz="4" w:space="0" w:color="auto"/>
              <w:bottom w:val="single" w:sz="4" w:space="0" w:color="auto"/>
              <w:right w:val="single" w:sz="4" w:space="0" w:color="auto"/>
            </w:tcBorders>
          </w:tcPr>
          <w:p w14:paraId="1CDB04A4"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FINANCIAL INFORMATION CONCERNING THE ISSUER’S ASSETS AND LIABILITIES, FINANCIAL POSITION AND PROFITS AND LOSSES </w:t>
            </w:r>
          </w:p>
        </w:tc>
        <w:tc>
          <w:tcPr>
            <w:tcW w:w="992" w:type="dxa"/>
            <w:tcBorders>
              <w:top w:val="single" w:sz="4" w:space="0" w:color="auto"/>
              <w:left w:val="single" w:sz="4" w:space="0" w:color="auto"/>
              <w:bottom w:val="single" w:sz="4" w:space="0" w:color="auto"/>
              <w:right w:val="single" w:sz="4" w:space="0" w:color="auto"/>
            </w:tcBorders>
          </w:tcPr>
          <w:p w14:paraId="09D3D016"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A4BC3B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744D47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0EF7699" w14:textId="5696E3BE"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59CDEE90" w14:textId="3E59F70F"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11.1 </w:t>
            </w:r>
          </w:p>
        </w:tc>
        <w:tc>
          <w:tcPr>
            <w:tcW w:w="4394" w:type="dxa"/>
            <w:tcBorders>
              <w:top w:val="single" w:sz="4" w:space="0" w:color="auto"/>
              <w:left w:val="single" w:sz="4" w:space="0" w:color="auto"/>
              <w:bottom w:val="single" w:sz="4" w:space="0" w:color="auto"/>
              <w:right w:val="single" w:sz="4" w:space="0" w:color="auto"/>
            </w:tcBorders>
          </w:tcPr>
          <w:p w14:paraId="4C45E859"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Historical financial information </w:t>
            </w:r>
          </w:p>
        </w:tc>
        <w:tc>
          <w:tcPr>
            <w:tcW w:w="992" w:type="dxa"/>
            <w:tcBorders>
              <w:top w:val="single" w:sz="4" w:space="0" w:color="auto"/>
              <w:left w:val="single" w:sz="4" w:space="0" w:color="auto"/>
              <w:bottom w:val="single" w:sz="4" w:space="0" w:color="auto"/>
              <w:right w:val="single" w:sz="4" w:space="0" w:color="auto"/>
            </w:tcBorders>
          </w:tcPr>
          <w:p w14:paraId="18955589"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4D3721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75ABD10D"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7BE6034" w14:textId="5B7FE88A"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6DA5A45F" w14:textId="1C67DFFB"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11.1.1 </w:t>
            </w:r>
          </w:p>
        </w:tc>
        <w:tc>
          <w:tcPr>
            <w:tcW w:w="4394" w:type="dxa"/>
            <w:tcBorders>
              <w:top w:val="single" w:sz="4" w:space="0" w:color="auto"/>
              <w:left w:val="single" w:sz="4" w:space="0" w:color="auto"/>
              <w:bottom w:val="single" w:sz="4" w:space="0" w:color="auto"/>
              <w:right w:val="single" w:sz="4" w:space="0" w:color="auto"/>
            </w:tcBorders>
          </w:tcPr>
          <w:p w14:paraId="069FB3B8"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Audited historical financial information covering the latest two financial years (or such shorter period as the issuer has been in operation) and the audit report in respect of each year. </w:t>
            </w:r>
          </w:p>
        </w:tc>
        <w:tc>
          <w:tcPr>
            <w:tcW w:w="992" w:type="dxa"/>
            <w:tcBorders>
              <w:top w:val="single" w:sz="4" w:space="0" w:color="auto"/>
              <w:left w:val="single" w:sz="4" w:space="0" w:color="auto"/>
              <w:bottom w:val="single" w:sz="4" w:space="0" w:color="auto"/>
              <w:right w:val="single" w:sz="4" w:space="0" w:color="auto"/>
            </w:tcBorders>
          </w:tcPr>
          <w:p w14:paraId="5D55C9C6"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A1230FB"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5508EA0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D616DA1" w14:textId="5207A81F"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1D7D73E0" w14:textId="58085861"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11.1.2 </w:t>
            </w:r>
          </w:p>
        </w:tc>
        <w:tc>
          <w:tcPr>
            <w:tcW w:w="4394" w:type="dxa"/>
            <w:tcBorders>
              <w:top w:val="single" w:sz="4" w:space="0" w:color="auto"/>
              <w:left w:val="single" w:sz="4" w:space="0" w:color="auto"/>
              <w:bottom w:val="single" w:sz="4" w:space="0" w:color="auto"/>
              <w:right w:val="single" w:sz="4" w:space="0" w:color="auto"/>
            </w:tcBorders>
          </w:tcPr>
          <w:p w14:paraId="70D308B3"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Change of accounting reference date </w:t>
            </w:r>
          </w:p>
          <w:p w14:paraId="6B01C14C"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If the issuer has changed its accounting reference date during the period for which historical financial information is required, the audited historical financial information shall cover at least 24 months, or the entire period for which the issuer has been in operation, whichever is shorter. </w:t>
            </w:r>
          </w:p>
        </w:tc>
        <w:tc>
          <w:tcPr>
            <w:tcW w:w="992" w:type="dxa"/>
            <w:tcBorders>
              <w:top w:val="single" w:sz="4" w:space="0" w:color="auto"/>
              <w:left w:val="single" w:sz="4" w:space="0" w:color="auto"/>
              <w:bottom w:val="single" w:sz="4" w:space="0" w:color="auto"/>
              <w:right w:val="single" w:sz="4" w:space="0" w:color="auto"/>
            </w:tcBorders>
          </w:tcPr>
          <w:p w14:paraId="5E2E985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0995949"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0AC99E5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38627EB" w14:textId="73CBDA06"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5DB79E6A" w14:textId="533363EB"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11.1.3 </w:t>
            </w:r>
          </w:p>
        </w:tc>
        <w:tc>
          <w:tcPr>
            <w:tcW w:w="4394" w:type="dxa"/>
            <w:tcBorders>
              <w:top w:val="single" w:sz="4" w:space="0" w:color="auto"/>
              <w:left w:val="single" w:sz="4" w:space="0" w:color="auto"/>
              <w:bottom w:val="single" w:sz="4" w:space="0" w:color="auto"/>
              <w:right w:val="single" w:sz="4" w:space="0" w:color="auto"/>
            </w:tcBorders>
          </w:tcPr>
          <w:p w14:paraId="68453C0C"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Accounting Standards </w:t>
            </w:r>
          </w:p>
          <w:p w14:paraId="1D17C250" w14:textId="310A74C5" w:rsidR="00634D2D" w:rsidRPr="00834D35" w:rsidRDefault="00634D2D" w:rsidP="006B52D7">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The financial information must be prepared</w:t>
            </w:r>
            <w:r w:rsidR="004E35CB" w:rsidRPr="00834D35">
              <w:rPr>
                <w:rFonts w:ascii="Arial" w:eastAsiaTheme="minorHAnsi" w:hAnsi="Arial" w:cs="Arial"/>
                <w:color w:val="000000"/>
                <w:sz w:val="18"/>
                <w:szCs w:val="18"/>
                <w:lang w:eastAsia="en-US"/>
              </w:rPr>
              <w:t xml:space="preserve"> in accordance with Article 23a.</w:t>
            </w:r>
            <w:r w:rsidR="004E35CB" w:rsidRPr="00834D35">
              <w:rPr>
                <w:rStyle w:val="FootnoteReference"/>
                <w:rFonts w:ascii="Arial" w:eastAsiaTheme="minorHAnsi" w:hAnsi="Arial" w:cs="Arial"/>
                <w:color w:val="000000"/>
                <w:sz w:val="18"/>
                <w:szCs w:val="18"/>
                <w:lang w:eastAsia="en-US"/>
              </w:rPr>
              <w:footnoteReference w:id="1"/>
            </w:r>
            <w:r w:rsidRPr="00834D35">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01E10AD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B509DB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E780C64"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09E253E2" w14:textId="0E804E0B"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7287B182" w14:textId="758D10AD"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11.1.4 </w:t>
            </w:r>
          </w:p>
        </w:tc>
        <w:tc>
          <w:tcPr>
            <w:tcW w:w="4394" w:type="dxa"/>
            <w:tcBorders>
              <w:top w:val="single" w:sz="4" w:space="0" w:color="auto"/>
              <w:left w:val="single" w:sz="4" w:space="0" w:color="auto"/>
              <w:bottom w:val="single" w:sz="4" w:space="0" w:color="auto"/>
              <w:right w:val="single" w:sz="4" w:space="0" w:color="auto"/>
            </w:tcBorders>
          </w:tcPr>
          <w:p w14:paraId="5AB1C415"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Change of accounting framework </w:t>
            </w:r>
          </w:p>
          <w:p w14:paraId="70BC3D35"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last audited historical financial information, containing comparative information for the previous year, must be presented and prepared in a form consistent with the accounting standards framework that will be adopted in the issuer’s next published annual financial statements. </w:t>
            </w:r>
          </w:p>
          <w:p w14:paraId="00850375"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Changes within the issuer’s existing accounting framework do not require the audited financial statements to be restated. However, if the issuer intends to adopt a new accounting standards framework in its next published financial statements, the latest year of financial statements must be prepared and audited in line with the new framework. </w:t>
            </w:r>
          </w:p>
        </w:tc>
        <w:tc>
          <w:tcPr>
            <w:tcW w:w="992" w:type="dxa"/>
            <w:tcBorders>
              <w:top w:val="single" w:sz="4" w:space="0" w:color="auto"/>
              <w:left w:val="single" w:sz="4" w:space="0" w:color="auto"/>
              <w:bottom w:val="single" w:sz="4" w:space="0" w:color="auto"/>
              <w:right w:val="single" w:sz="4" w:space="0" w:color="auto"/>
            </w:tcBorders>
          </w:tcPr>
          <w:p w14:paraId="6758EDBB"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89FD0C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B3EBD42"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F26DB03" w14:textId="60EF6ED5"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4AB8B74E" w14:textId="3FC5A2AD"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11.1.5 </w:t>
            </w:r>
          </w:p>
        </w:tc>
        <w:tc>
          <w:tcPr>
            <w:tcW w:w="4394" w:type="dxa"/>
            <w:tcBorders>
              <w:top w:val="single" w:sz="4" w:space="0" w:color="auto"/>
              <w:left w:val="single" w:sz="4" w:space="0" w:color="auto"/>
              <w:bottom w:val="single" w:sz="4" w:space="0" w:color="auto"/>
              <w:right w:val="single" w:sz="4" w:space="0" w:color="auto"/>
            </w:tcBorders>
          </w:tcPr>
          <w:p w14:paraId="2B5D0524"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Where the audited financial information is prepared according to national accounting standards, the financial information required under this heading must include at least the following: </w:t>
            </w:r>
          </w:p>
          <w:p w14:paraId="2A9AF120" w14:textId="184FA95F" w:rsidR="00634D2D" w:rsidRPr="00834D35" w:rsidRDefault="00634D2D" w:rsidP="00015C33">
            <w:pPr>
              <w:pStyle w:val="ListParagraph"/>
              <w:numPr>
                <w:ilvl w:val="0"/>
                <w:numId w:val="41"/>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balance sheet; </w:t>
            </w:r>
          </w:p>
          <w:p w14:paraId="15211133" w14:textId="4A579854" w:rsidR="00634D2D" w:rsidRPr="00834D35" w:rsidRDefault="00634D2D" w:rsidP="00015C33">
            <w:pPr>
              <w:pStyle w:val="ListParagraph"/>
              <w:numPr>
                <w:ilvl w:val="0"/>
                <w:numId w:val="41"/>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lastRenderedPageBreak/>
              <w:t xml:space="preserve">the income statement; </w:t>
            </w:r>
          </w:p>
          <w:p w14:paraId="185E42CD" w14:textId="77777777" w:rsidR="00015C33" w:rsidRPr="00834D35" w:rsidRDefault="00634D2D" w:rsidP="00015C33">
            <w:pPr>
              <w:pStyle w:val="ListParagraph"/>
              <w:numPr>
                <w:ilvl w:val="0"/>
                <w:numId w:val="41"/>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cash flow statement; </w:t>
            </w:r>
          </w:p>
          <w:p w14:paraId="22FA15E6" w14:textId="1F9B0011" w:rsidR="00634D2D" w:rsidRPr="00834D35" w:rsidRDefault="00634D2D" w:rsidP="00015C33">
            <w:pPr>
              <w:pStyle w:val="ListParagraph"/>
              <w:numPr>
                <w:ilvl w:val="0"/>
                <w:numId w:val="41"/>
              </w:numPr>
              <w:autoSpaceDE w:val="0"/>
              <w:autoSpaceDN w:val="0"/>
              <w:adjustRightInd w:val="0"/>
              <w:spacing w:after="120"/>
              <w:ind w:left="36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accounting policies and explanatory notes. </w:t>
            </w:r>
          </w:p>
        </w:tc>
        <w:tc>
          <w:tcPr>
            <w:tcW w:w="992" w:type="dxa"/>
            <w:tcBorders>
              <w:top w:val="single" w:sz="4" w:space="0" w:color="auto"/>
              <w:left w:val="single" w:sz="4" w:space="0" w:color="auto"/>
              <w:bottom w:val="single" w:sz="4" w:space="0" w:color="auto"/>
              <w:right w:val="single" w:sz="4" w:space="0" w:color="auto"/>
            </w:tcBorders>
          </w:tcPr>
          <w:p w14:paraId="29A08D54"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B890E5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5C7BC3E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4A4D2ECF" w14:textId="13179604"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40AD06B7" w14:textId="1BFE9AFF"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11.1.6 </w:t>
            </w:r>
          </w:p>
        </w:tc>
        <w:tc>
          <w:tcPr>
            <w:tcW w:w="4394" w:type="dxa"/>
            <w:tcBorders>
              <w:top w:val="single" w:sz="4" w:space="0" w:color="auto"/>
              <w:left w:val="single" w:sz="4" w:space="0" w:color="auto"/>
              <w:bottom w:val="single" w:sz="4" w:space="0" w:color="auto"/>
              <w:right w:val="single" w:sz="4" w:space="0" w:color="auto"/>
            </w:tcBorders>
          </w:tcPr>
          <w:p w14:paraId="48E76170"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Consolidated financial statements </w:t>
            </w:r>
          </w:p>
          <w:p w14:paraId="6F91E00C"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If the issuer prepares both stand-alone and consolidated financial statements, include at least the consolidated financial statements in the registration document. </w:t>
            </w:r>
          </w:p>
        </w:tc>
        <w:tc>
          <w:tcPr>
            <w:tcW w:w="992" w:type="dxa"/>
            <w:tcBorders>
              <w:top w:val="single" w:sz="4" w:space="0" w:color="auto"/>
              <w:left w:val="single" w:sz="4" w:space="0" w:color="auto"/>
              <w:bottom w:val="single" w:sz="4" w:space="0" w:color="auto"/>
              <w:right w:val="single" w:sz="4" w:space="0" w:color="auto"/>
            </w:tcBorders>
          </w:tcPr>
          <w:p w14:paraId="1F06D472"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0115BD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0AE2DF2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7A692D88" w14:textId="3C97FB37"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0E099E2F" w14:textId="118CDB71"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11.1.7 </w:t>
            </w:r>
          </w:p>
        </w:tc>
        <w:tc>
          <w:tcPr>
            <w:tcW w:w="4394" w:type="dxa"/>
            <w:tcBorders>
              <w:top w:val="single" w:sz="4" w:space="0" w:color="auto"/>
              <w:left w:val="single" w:sz="4" w:space="0" w:color="auto"/>
              <w:bottom w:val="single" w:sz="4" w:space="0" w:color="auto"/>
              <w:right w:val="single" w:sz="4" w:space="0" w:color="auto"/>
            </w:tcBorders>
          </w:tcPr>
          <w:p w14:paraId="22062287"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Age of financial information </w:t>
            </w:r>
          </w:p>
          <w:p w14:paraId="60676A62"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balance sheet date of the last year of audited financial information statements may not be older than 18 months from the date of the registration document. </w:t>
            </w:r>
          </w:p>
        </w:tc>
        <w:tc>
          <w:tcPr>
            <w:tcW w:w="992" w:type="dxa"/>
            <w:tcBorders>
              <w:top w:val="single" w:sz="4" w:space="0" w:color="auto"/>
              <w:left w:val="single" w:sz="4" w:space="0" w:color="auto"/>
              <w:bottom w:val="single" w:sz="4" w:space="0" w:color="auto"/>
              <w:right w:val="single" w:sz="4" w:space="0" w:color="auto"/>
            </w:tcBorders>
          </w:tcPr>
          <w:p w14:paraId="77EC6652"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B56A27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2D8D4639"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1F328EF" w14:textId="1FCBB8FF"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3004A4E1" w14:textId="63CB375E"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11.2 </w:t>
            </w:r>
          </w:p>
        </w:tc>
        <w:tc>
          <w:tcPr>
            <w:tcW w:w="4394" w:type="dxa"/>
            <w:tcBorders>
              <w:top w:val="single" w:sz="4" w:space="0" w:color="auto"/>
              <w:left w:val="single" w:sz="4" w:space="0" w:color="auto"/>
              <w:bottom w:val="single" w:sz="4" w:space="0" w:color="auto"/>
              <w:right w:val="single" w:sz="4" w:space="0" w:color="auto"/>
            </w:tcBorders>
          </w:tcPr>
          <w:p w14:paraId="3D3629EC"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Interim and other financial information </w:t>
            </w:r>
          </w:p>
        </w:tc>
        <w:tc>
          <w:tcPr>
            <w:tcW w:w="992" w:type="dxa"/>
            <w:tcBorders>
              <w:top w:val="single" w:sz="4" w:space="0" w:color="auto"/>
              <w:left w:val="single" w:sz="4" w:space="0" w:color="auto"/>
              <w:bottom w:val="single" w:sz="4" w:space="0" w:color="auto"/>
              <w:right w:val="single" w:sz="4" w:space="0" w:color="auto"/>
            </w:tcBorders>
          </w:tcPr>
          <w:p w14:paraId="7A28EAC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7EF63F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584E2A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7D3F5C86" w14:textId="35F72C15"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48764FBC" w14:textId="06180FA2"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11.2.1 </w:t>
            </w:r>
          </w:p>
        </w:tc>
        <w:tc>
          <w:tcPr>
            <w:tcW w:w="4394" w:type="dxa"/>
            <w:tcBorders>
              <w:top w:val="single" w:sz="4" w:space="0" w:color="auto"/>
              <w:left w:val="single" w:sz="4" w:space="0" w:color="auto"/>
              <w:bottom w:val="single" w:sz="4" w:space="0" w:color="auto"/>
              <w:right w:val="single" w:sz="4" w:space="0" w:color="auto"/>
            </w:tcBorders>
          </w:tcPr>
          <w:p w14:paraId="7DDDC33F"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If the issuer has published quarterly or half yearly financial information since the date of its last audited financial statements, these must be included in the registration document. If the quarterly or half yearly financial information has been reviewed or audited, the audit or review report must also be included. If the quarterly or half yearly financial information is not audited or has not been reviewed state that fact. </w:t>
            </w:r>
          </w:p>
          <w:p w14:paraId="3F9853EE"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If the registration document is dated more than nine months after the date of the last audited financial statements, it must contain interim financial information, which may be unaudited (in which case that fact must be stated) covering at least the first six months of the financial year. </w:t>
            </w:r>
          </w:p>
          <w:p w14:paraId="51D897AB" w14:textId="4BA17A54"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Interim financial information prepared in accordance with either the requirements of </w:t>
            </w:r>
            <w:r w:rsidR="004E35CB" w:rsidRPr="00834D35">
              <w:rPr>
                <w:rFonts w:ascii="Arial" w:eastAsiaTheme="minorHAnsi" w:hAnsi="Arial" w:cs="Arial"/>
                <w:color w:val="000000"/>
                <w:sz w:val="18"/>
                <w:szCs w:val="18"/>
                <w:lang w:eastAsia="en-US"/>
              </w:rPr>
              <w:t xml:space="preserve">the UK law which implemented </w:t>
            </w:r>
            <w:r w:rsidRPr="00834D35">
              <w:rPr>
                <w:rFonts w:ascii="Arial" w:eastAsiaTheme="minorHAnsi" w:hAnsi="Arial" w:cs="Arial"/>
                <w:color w:val="000000"/>
                <w:sz w:val="18"/>
                <w:szCs w:val="18"/>
                <w:lang w:eastAsia="en-US"/>
              </w:rPr>
              <w:t xml:space="preserve">Directive 2013/34/EU or </w:t>
            </w:r>
            <w:r w:rsidR="004E35CB" w:rsidRPr="00834D35">
              <w:rPr>
                <w:rFonts w:ascii="Arial" w:eastAsiaTheme="minorHAnsi" w:hAnsi="Arial" w:cs="Arial"/>
                <w:color w:val="000000"/>
                <w:sz w:val="18"/>
                <w:szCs w:val="18"/>
                <w:lang w:eastAsia="en-US"/>
              </w:rPr>
              <w:t xml:space="preserve">section 403 of the Companies Act 2006 as the case may be. </w:t>
            </w:r>
            <w:r w:rsidRPr="00834D35">
              <w:rPr>
                <w:rFonts w:ascii="Arial" w:hAnsi="Arial" w:cs="Arial"/>
                <w:sz w:val="18"/>
                <w:szCs w:val="18"/>
              </w:rPr>
              <w:t xml:space="preserve">For </w:t>
            </w:r>
            <w:proofErr w:type="gramStart"/>
            <w:r w:rsidRPr="00834D35">
              <w:rPr>
                <w:rFonts w:ascii="Arial" w:hAnsi="Arial" w:cs="Arial"/>
                <w:sz w:val="18"/>
                <w:szCs w:val="18"/>
              </w:rPr>
              <w:t>issuers</w:t>
            </w:r>
            <w:proofErr w:type="gramEnd"/>
            <w:r w:rsidRPr="00834D35">
              <w:rPr>
                <w:rFonts w:ascii="Arial" w:hAnsi="Arial" w:cs="Arial"/>
                <w:sz w:val="18"/>
                <w:szCs w:val="18"/>
              </w:rPr>
              <w:t xml:space="preserve"> not subject to either </w:t>
            </w:r>
            <w:r w:rsidR="004E35CB" w:rsidRPr="00834D35">
              <w:rPr>
                <w:rFonts w:ascii="Arial" w:hAnsi="Arial" w:cs="Arial"/>
                <w:sz w:val="18"/>
                <w:szCs w:val="18"/>
              </w:rPr>
              <w:t xml:space="preserve">the UK law which implemented </w:t>
            </w:r>
            <w:r w:rsidRPr="00834D35">
              <w:rPr>
                <w:rFonts w:ascii="Arial" w:hAnsi="Arial" w:cs="Arial"/>
                <w:sz w:val="18"/>
                <w:szCs w:val="18"/>
              </w:rPr>
              <w:t xml:space="preserve">Directive 2013/34/EU or </w:t>
            </w:r>
            <w:r w:rsidR="004E35CB" w:rsidRPr="00834D35">
              <w:rPr>
                <w:rFonts w:ascii="Arial" w:hAnsi="Arial" w:cs="Arial"/>
                <w:sz w:val="18"/>
                <w:szCs w:val="18"/>
              </w:rPr>
              <w:t>section 403 of the Companies Act 2006</w:t>
            </w:r>
            <w:r w:rsidRPr="00834D35">
              <w:rPr>
                <w:rFonts w:ascii="Arial" w:hAnsi="Arial" w:cs="Arial"/>
                <w:sz w:val="18"/>
                <w:szCs w:val="18"/>
              </w:rPr>
              <w:t xml:space="preserve">, the interim financial information must include comparative statements for the same period in the prior financial year, except that the requirement for comparative balance sheet information may be satisfied by presenting the year’s end balance sheet. </w:t>
            </w:r>
            <w:r w:rsidRPr="00834D35">
              <w:rPr>
                <w:rFonts w:ascii="Arial" w:eastAsiaTheme="minorHAnsi" w:hAnsi="Arial" w:cs="Arial"/>
                <w:color w:val="000000"/>
                <w:sz w:val="18"/>
                <w:szCs w:val="18"/>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14:paraId="279CE5AD"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DC271BB"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662E33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828E8C5" w14:textId="7AB2A62A"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29D846CE" w14:textId="641C5E57"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11.3 </w:t>
            </w:r>
          </w:p>
        </w:tc>
        <w:tc>
          <w:tcPr>
            <w:tcW w:w="4394" w:type="dxa"/>
            <w:tcBorders>
              <w:top w:val="single" w:sz="4" w:space="0" w:color="auto"/>
              <w:left w:val="single" w:sz="4" w:space="0" w:color="auto"/>
              <w:bottom w:val="single" w:sz="4" w:space="0" w:color="auto"/>
              <w:right w:val="single" w:sz="4" w:space="0" w:color="auto"/>
            </w:tcBorders>
          </w:tcPr>
          <w:p w14:paraId="692128D8"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Auditing of historical annual financial information </w:t>
            </w:r>
          </w:p>
        </w:tc>
        <w:tc>
          <w:tcPr>
            <w:tcW w:w="992" w:type="dxa"/>
            <w:tcBorders>
              <w:top w:val="single" w:sz="4" w:space="0" w:color="auto"/>
              <w:left w:val="single" w:sz="4" w:space="0" w:color="auto"/>
              <w:bottom w:val="single" w:sz="4" w:space="0" w:color="auto"/>
              <w:right w:val="single" w:sz="4" w:space="0" w:color="auto"/>
            </w:tcBorders>
          </w:tcPr>
          <w:p w14:paraId="7EEE45A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56BABA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329D918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1A7A6120" w14:textId="61E46352"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1476A28A" w14:textId="2F5C1B0E"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11.3.1 </w:t>
            </w:r>
          </w:p>
        </w:tc>
        <w:tc>
          <w:tcPr>
            <w:tcW w:w="4394" w:type="dxa"/>
            <w:tcBorders>
              <w:top w:val="single" w:sz="4" w:space="0" w:color="auto"/>
              <w:left w:val="single" w:sz="4" w:space="0" w:color="auto"/>
              <w:bottom w:val="single" w:sz="4" w:space="0" w:color="auto"/>
              <w:right w:val="single" w:sz="4" w:space="0" w:color="auto"/>
            </w:tcBorders>
          </w:tcPr>
          <w:p w14:paraId="57098918" w14:textId="2C5369F8" w:rsidR="00D17EF5" w:rsidRPr="00834D35" w:rsidRDefault="00634D2D" w:rsidP="00D17EF5">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T</w:t>
            </w:r>
            <w:r w:rsidR="00D17EF5" w:rsidRPr="00834D35">
              <w:rPr>
                <w:rFonts w:ascii="Arial" w:eastAsiaTheme="minorHAnsi" w:hAnsi="Arial" w:cs="Arial"/>
                <w:color w:val="000000"/>
                <w:sz w:val="18"/>
                <w:szCs w:val="18"/>
                <w:lang w:eastAsia="en-US"/>
              </w:rPr>
              <w:t xml:space="preserve">he historical annual financial information must be independently audited. The audit report shall be prepared in accordance with </w:t>
            </w:r>
            <w:r w:rsidR="004E35CB" w:rsidRPr="00834D35">
              <w:rPr>
                <w:rFonts w:ascii="Arial" w:eastAsiaTheme="minorHAnsi" w:hAnsi="Arial" w:cs="Arial"/>
                <w:color w:val="000000"/>
                <w:sz w:val="18"/>
                <w:szCs w:val="18"/>
                <w:lang w:eastAsia="en-US"/>
              </w:rPr>
              <w:t xml:space="preserve">the UK law which implemented </w:t>
            </w:r>
            <w:r w:rsidR="00D17EF5" w:rsidRPr="00834D35">
              <w:rPr>
                <w:rFonts w:ascii="Arial" w:eastAsiaTheme="minorHAnsi" w:hAnsi="Arial" w:cs="Arial"/>
                <w:color w:val="000000"/>
                <w:sz w:val="18"/>
                <w:szCs w:val="18"/>
                <w:lang w:eastAsia="en-US"/>
              </w:rPr>
              <w:t>Directive 2006/43/EC and Regulation (EU) No 537/2014.</w:t>
            </w:r>
          </w:p>
          <w:p w14:paraId="40E13350" w14:textId="0CDEB3E6" w:rsidR="00634D2D" w:rsidRPr="00834D35" w:rsidRDefault="00D17EF5" w:rsidP="00161A74">
            <w:pPr>
              <w:rPr>
                <w:rFonts w:eastAsiaTheme="minorHAnsi"/>
                <w:lang w:eastAsia="en-US"/>
              </w:rPr>
            </w:pPr>
            <w:r w:rsidRPr="00834D35">
              <w:rPr>
                <w:rFonts w:ascii="Arial" w:eastAsiaTheme="minorHAnsi" w:hAnsi="Arial" w:cs="Arial"/>
                <w:color w:val="000000"/>
                <w:sz w:val="18"/>
                <w:szCs w:val="18"/>
                <w:lang w:eastAsia="en-US"/>
              </w:rPr>
              <w:t xml:space="preserve">Where </w:t>
            </w:r>
            <w:r w:rsidR="004E35CB" w:rsidRPr="00834D35">
              <w:rPr>
                <w:rFonts w:ascii="Arial" w:eastAsiaTheme="minorHAnsi" w:hAnsi="Arial" w:cs="Arial"/>
                <w:color w:val="000000"/>
                <w:sz w:val="18"/>
                <w:szCs w:val="18"/>
                <w:lang w:eastAsia="en-US"/>
              </w:rPr>
              <w:t xml:space="preserve">the UK law which implemented </w:t>
            </w:r>
            <w:r w:rsidRPr="00834D35">
              <w:rPr>
                <w:rFonts w:ascii="Arial" w:eastAsiaTheme="minorHAnsi" w:hAnsi="Arial" w:cs="Arial"/>
                <w:color w:val="000000"/>
                <w:sz w:val="18"/>
                <w:szCs w:val="18"/>
                <w:lang w:eastAsia="en-US"/>
              </w:rPr>
              <w:t xml:space="preserve">Directive 2006/43/EC and Regulation (EU) No 537/2014 do not apply, the historical financial information must be audited or reported on as to </w:t>
            </w:r>
            <w:proofErr w:type="gramStart"/>
            <w:r w:rsidRPr="00834D35">
              <w:rPr>
                <w:rFonts w:ascii="Arial" w:eastAsiaTheme="minorHAnsi" w:hAnsi="Arial" w:cs="Arial"/>
                <w:color w:val="000000"/>
                <w:sz w:val="18"/>
                <w:szCs w:val="18"/>
                <w:lang w:eastAsia="en-US"/>
              </w:rPr>
              <w:t>whether or not</w:t>
            </w:r>
            <w:proofErr w:type="gramEnd"/>
            <w:r w:rsidRPr="00834D35">
              <w:rPr>
                <w:rFonts w:ascii="Arial" w:eastAsiaTheme="minorHAnsi" w:hAnsi="Arial" w:cs="Arial"/>
                <w:color w:val="000000"/>
                <w:sz w:val="18"/>
                <w:szCs w:val="18"/>
                <w:lang w:eastAsia="en-US"/>
              </w:rPr>
              <w:t xml:space="preserve">, for the purposes of the registration document, it gives a true and fair view in accordance with auditing standards applicable in </w:t>
            </w:r>
            <w:r w:rsidR="004E35CB" w:rsidRPr="00834D35">
              <w:rPr>
                <w:rFonts w:ascii="Arial" w:eastAsiaTheme="minorHAnsi" w:hAnsi="Arial" w:cs="Arial"/>
                <w:color w:val="000000"/>
                <w:sz w:val="18"/>
                <w:szCs w:val="18"/>
                <w:lang w:eastAsia="en-US"/>
              </w:rPr>
              <w:t xml:space="preserve">the United Kingdom </w:t>
            </w:r>
            <w:r w:rsidRPr="00834D35">
              <w:rPr>
                <w:rFonts w:ascii="Arial" w:eastAsiaTheme="minorHAnsi" w:hAnsi="Arial" w:cs="Arial"/>
                <w:color w:val="000000"/>
                <w:sz w:val="18"/>
                <w:szCs w:val="18"/>
                <w:lang w:eastAsia="en-US"/>
              </w:rPr>
              <w:t>or an equivalent standard.</w:t>
            </w:r>
            <w:r w:rsidR="00634D2D" w:rsidRPr="00834D35">
              <w:rPr>
                <w:rFonts w:eastAsiaTheme="minorHAnsi"/>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14:paraId="14FC689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065615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11C32FFC"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D17EF5" w:rsidRPr="00634D2D" w14:paraId="3357444F" w14:textId="77777777"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7E323740" w14:textId="553D37E0" w:rsidR="00D17EF5" w:rsidRPr="00834D35" w:rsidRDefault="00D17EF5"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11.3.1a</w:t>
            </w:r>
          </w:p>
        </w:tc>
        <w:tc>
          <w:tcPr>
            <w:tcW w:w="4394" w:type="dxa"/>
            <w:tcBorders>
              <w:top w:val="single" w:sz="4" w:space="0" w:color="auto"/>
              <w:left w:val="single" w:sz="4" w:space="0" w:color="auto"/>
              <w:bottom w:val="single" w:sz="4" w:space="0" w:color="auto"/>
              <w:right w:val="single" w:sz="4" w:space="0" w:color="auto"/>
            </w:tcBorders>
          </w:tcPr>
          <w:p w14:paraId="677E8051" w14:textId="09E54553" w:rsidR="00D17EF5" w:rsidRPr="00834D35" w:rsidRDefault="00D17EF5" w:rsidP="00D17EF5">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Where audit reports on the historical financial information have been refused by the statutory auditors or where they contain qualifications, modifications of opinion, disclaimers or an emphasis of matter, the reason must be given, and such </w:t>
            </w:r>
            <w:r w:rsidRPr="00834D35">
              <w:rPr>
                <w:rFonts w:ascii="Arial" w:eastAsiaTheme="minorHAnsi" w:hAnsi="Arial" w:cs="Arial"/>
                <w:color w:val="000000"/>
                <w:sz w:val="18"/>
                <w:szCs w:val="18"/>
                <w:lang w:eastAsia="en-US"/>
              </w:rPr>
              <w:lastRenderedPageBreak/>
              <w:t>qualifications, modifications, disclaimers or emphasis of matter must be reproduced in full.</w:t>
            </w:r>
          </w:p>
        </w:tc>
        <w:tc>
          <w:tcPr>
            <w:tcW w:w="992" w:type="dxa"/>
            <w:tcBorders>
              <w:top w:val="single" w:sz="4" w:space="0" w:color="auto"/>
              <w:left w:val="single" w:sz="4" w:space="0" w:color="auto"/>
              <w:bottom w:val="single" w:sz="4" w:space="0" w:color="auto"/>
              <w:right w:val="single" w:sz="4" w:space="0" w:color="auto"/>
            </w:tcBorders>
          </w:tcPr>
          <w:p w14:paraId="7B0D9D2E" w14:textId="77777777" w:rsidR="00D17EF5" w:rsidRPr="00634D2D" w:rsidRDefault="00D17EF5"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453F448" w14:textId="77777777" w:rsidR="00D17EF5" w:rsidRPr="00634D2D" w:rsidRDefault="00D17EF5"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33CF50B0" w14:textId="77777777" w:rsidR="00D17EF5" w:rsidRPr="00634D2D" w:rsidRDefault="00D17EF5"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B2401D5" w14:textId="08149F4E"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63ECD307" w14:textId="7B86ADB1"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11.3.2 </w:t>
            </w:r>
          </w:p>
        </w:tc>
        <w:tc>
          <w:tcPr>
            <w:tcW w:w="4394" w:type="dxa"/>
            <w:tcBorders>
              <w:top w:val="single" w:sz="4" w:space="0" w:color="auto"/>
              <w:left w:val="single" w:sz="4" w:space="0" w:color="auto"/>
              <w:bottom w:val="single" w:sz="4" w:space="0" w:color="auto"/>
              <w:right w:val="single" w:sz="4" w:space="0" w:color="auto"/>
            </w:tcBorders>
          </w:tcPr>
          <w:p w14:paraId="0F689B8C"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Indication of other information in the registration document which has been audited by the auditors. </w:t>
            </w:r>
          </w:p>
        </w:tc>
        <w:tc>
          <w:tcPr>
            <w:tcW w:w="992" w:type="dxa"/>
            <w:tcBorders>
              <w:top w:val="single" w:sz="4" w:space="0" w:color="auto"/>
              <w:left w:val="single" w:sz="4" w:space="0" w:color="auto"/>
              <w:bottom w:val="single" w:sz="4" w:space="0" w:color="auto"/>
              <w:right w:val="single" w:sz="4" w:space="0" w:color="auto"/>
            </w:tcBorders>
          </w:tcPr>
          <w:p w14:paraId="4F044134"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90DCA34"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1A30352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7912A86" w14:textId="4672D288"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6F671627" w14:textId="78C255AF"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11.3.3 </w:t>
            </w:r>
          </w:p>
        </w:tc>
        <w:tc>
          <w:tcPr>
            <w:tcW w:w="4394" w:type="dxa"/>
            <w:tcBorders>
              <w:top w:val="single" w:sz="4" w:space="0" w:color="auto"/>
              <w:left w:val="single" w:sz="4" w:space="0" w:color="auto"/>
              <w:bottom w:val="single" w:sz="4" w:space="0" w:color="auto"/>
              <w:right w:val="single" w:sz="4" w:space="0" w:color="auto"/>
            </w:tcBorders>
          </w:tcPr>
          <w:p w14:paraId="60C9C4D6"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Where financial information in the registration document is not extracted from the issuer’s audited financial statements state the source of the data and state that the data is not audited. </w:t>
            </w:r>
          </w:p>
        </w:tc>
        <w:tc>
          <w:tcPr>
            <w:tcW w:w="992" w:type="dxa"/>
            <w:tcBorders>
              <w:top w:val="single" w:sz="4" w:space="0" w:color="auto"/>
              <w:left w:val="single" w:sz="4" w:space="0" w:color="auto"/>
              <w:bottom w:val="single" w:sz="4" w:space="0" w:color="auto"/>
              <w:right w:val="single" w:sz="4" w:space="0" w:color="auto"/>
            </w:tcBorders>
          </w:tcPr>
          <w:p w14:paraId="2D51EBC2"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496A75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3E03974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203FF1E" w14:textId="2AD05465"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571915EB" w14:textId="525E1A7A"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11.4 </w:t>
            </w:r>
          </w:p>
        </w:tc>
        <w:tc>
          <w:tcPr>
            <w:tcW w:w="4394" w:type="dxa"/>
            <w:tcBorders>
              <w:top w:val="single" w:sz="4" w:space="0" w:color="auto"/>
              <w:left w:val="single" w:sz="4" w:space="0" w:color="auto"/>
              <w:bottom w:val="single" w:sz="4" w:space="0" w:color="auto"/>
              <w:right w:val="single" w:sz="4" w:space="0" w:color="auto"/>
            </w:tcBorders>
          </w:tcPr>
          <w:p w14:paraId="786ABDE5"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Legal and arbitration proceedings </w:t>
            </w:r>
          </w:p>
        </w:tc>
        <w:tc>
          <w:tcPr>
            <w:tcW w:w="992" w:type="dxa"/>
            <w:tcBorders>
              <w:top w:val="single" w:sz="4" w:space="0" w:color="auto"/>
              <w:left w:val="single" w:sz="4" w:space="0" w:color="auto"/>
              <w:bottom w:val="single" w:sz="4" w:space="0" w:color="auto"/>
              <w:right w:val="single" w:sz="4" w:space="0" w:color="auto"/>
            </w:tcBorders>
          </w:tcPr>
          <w:p w14:paraId="12AE67D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CB0C4B2"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15425DF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5739821" w14:textId="2E1C8EB3"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5E5EDE5D" w14:textId="7F2A968E"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11.4.1 </w:t>
            </w:r>
          </w:p>
        </w:tc>
        <w:tc>
          <w:tcPr>
            <w:tcW w:w="4394" w:type="dxa"/>
            <w:tcBorders>
              <w:top w:val="single" w:sz="4" w:space="0" w:color="auto"/>
              <w:left w:val="single" w:sz="4" w:space="0" w:color="auto"/>
              <w:bottom w:val="single" w:sz="4" w:space="0" w:color="auto"/>
              <w:right w:val="single" w:sz="4" w:space="0" w:color="auto"/>
            </w:tcBorders>
          </w:tcPr>
          <w:p w14:paraId="78858606"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 and/or group’s financial position or profitability, or provide an appropriate negative statement. </w:t>
            </w:r>
          </w:p>
        </w:tc>
        <w:tc>
          <w:tcPr>
            <w:tcW w:w="992" w:type="dxa"/>
            <w:tcBorders>
              <w:top w:val="single" w:sz="4" w:space="0" w:color="auto"/>
              <w:left w:val="single" w:sz="4" w:space="0" w:color="auto"/>
              <w:bottom w:val="single" w:sz="4" w:space="0" w:color="auto"/>
              <w:right w:val="single" w:sz="4" w:space="0" w:color="auto"/>
            </w:tcBorders>
          </w:tcPr>
          <w:p w14:paraId="5F91AB1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07DAC5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189B301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54FC58C" w14:textId="148F90C9"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2E9FFEE2" w14:textId="1FDEB66E"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11.5 </w:t>
            </w:r>
          </w:p>
        </w:tc>
        <w:tc>
          <w:tcPr>
            <w:tcW w:w="4394" w:type="dxa"/>
            <w:tcBorders>
              <w:top w:val="single" w:sz="4" w:space="0" w:color="auto"/>
              <w:left w:val="single" w:sz="4" w:space="0" w:color="auto"/>
              <w:bottom w:val="single" w:sz="4" w:space="0" w:color="auto"/>
              <w:right w:val="single" w:sz="4" w:space="0" w:color="auto"/>
            </w:tcBorders>
          </w:tcPr>
          <w:p w14:paraId="4B01F639"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Significant change in the issuer’s financial position </w:t>
            </w:r>
          </w:p>
        </w:tc>
        <w:tc>
          <w:tcPr>
            <w:tcW w:w="992" w:type="dxa"/>
            <w:tcBorders>
              <w:top w:val="single" w:sz="4" w:space="0" w:color="auto"/>
              <w:left w:val="single" w:sz="4" w:space="0" w:color="auto"/>
              <w:bottom w:val="single" w:sz="4" w:space="0" w:color="auto"/>
              <w:right w:val="single" w:sz="4" w:space="0" w:color="auto"/>
            </w:tcBorders>
          </w:tcPr>
          <w:p w14:paraId="6FECA06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AADE9A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2B2209F"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4E09F072" w14:textId="669A570A"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005A415D" w14:textId="3E0962B7"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11.5.1 </w:t>
            </w:r>
          </w:p>
        </w:tc>
        <w:tc>
          <w:tcPr>
            <w:tcW w:w="4394" w:type="dxa"/>
            <w:tcBorders>
              <w:top w:val="single" w:sz="4" w:space="0" w:color="auto"/>
              <w:left w:val="single" w:sz="4" w:space="0" w:color="auto"/>
              <w:bottom w:val="single" w:sz="4" w:space="0" w:color="auto"/>
              <w:right w:val="single" w:sz="4" w:space="0" w:color="auto"/>
            </w:tcBorders>
          </w:tcPr>
          <w:p w14:paraId="218A346D"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 description of any significant change in the financial position of the group which has occurred since the end of the last financial period for which either audited financial information or interim financial information have been published, or provide an appropriate negative statement </w:t>
            </w:r>
          </w:p>
        </w:tc>
        <w:tc>
          <w:tcPr>
            <w:tcW w:w="992" w:type="dxa"/>
            <w:tcBorders>
              <w:top w:val="single" w:sz="4" w:space="0" w:color="auto"/>
              <w:left w:val="single" w:sz="4" w:space="0" w:color="auto"/>
              <w:bottom w:val="single" w:sz="4" w:space="0" w:color="auto"/>
              <w:right w:val="single" w:sz="4" w:space="0" w:color="auto"/>
            </w:tcBorders>
          </w:tcPr>
          <w:p w14:paraId="2F21E8A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8F7F08E"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4A0A0E52"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14D7536D" w14:textId="7ED44B02"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78AE1E87" w14:textId="365C1EC4"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12 </w:t>
            </w:r>
          </w:p>
        </w:tc>
        <w:tc>
          <w:tcPr>
            <w:tcW w:w="4394" w:type="dxa"/>
            <w:tcBorders>
              <w:top w:val="single" w:sz="4" w:space="0" w:color="auto"/>
              <w:left w:val="single" w:sz="4" w:space="0" w:color="auto"/>
              <w:bottom w:val="single" w:sz="4" w:space="0" w:color="auto"/>
              <w:right w:val="single" w:sz="4" w:space="0" w:color="auto"/>
            </w:tcBorders>
          </w:tcPr>
          <w:p w14:paraId="4AD6285D"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ADDITIONAL INFORMATION </w:t>
            </w:r>
          </w:p>
        </w:tc>
        <w:tc>
          <w:tcPr>
            <w:tcW w:w="992" w:type="dxa"/>
            <w:tcBorders>
              <w:top w:val="single" w:sz="4" w:space="0" w:color="auto"/>
              <w:left w:val="single" w:sz="4" w:space="0" w:color="auto"/>
              <w:bottom w:val="single" w:sz="4" w:space="0" w:color="auto"/>
              <w:right w:val="single" w:sz="4" w:space="0" w:color="auto"/>
            </w:tcBorders>
          </w:tcPr>
          <w:p w14:paraId="113BBF5D"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D25213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314E892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909832D" w14:textId="2CF0A012"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23A835B2" w14:textId="091CEEA2"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12.1 </w:t>
            </w:r>
          </w:p>
        </w:tc>
        <w:tc>
          <w:tcPr>
            <w:tcW w:w="4394" w:type="dxa"/>
            <w:tcBorders>
              <w:top w:val="single" w:sz="4" w:space="0" w:color="auto"/>
              <w:left w:val="single" w:sz="4" w:space="0" w:color="auto"/>
              <w:bottom w:val="single" w:sz="4" w:space="0" w:color="auto"/>
              <w:right w:val="single" w:sz="4" w:space="0" w:color="auto"/>
            </w:tcBorders>
          </w:tcPr>
          <w:p w14:paraId="0720B0E1"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Share capital </w:t>
            </w:r>
          </w:p>
          <w:p w14:paraId="0C2E5898"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amount of the issued capital, the number and classes of the shares of which it is composed with details of their principal characteristics, the part of the issued capital still to be paid up with an indication of the number, or total nominal value and the type of the shares not yet fully paid up, broken down where applicable according to the extent to which they have been paid up. </w:t>
            </w:r>
          </w:p>
        </w:tc>
        <w:tc>
          <w:tcPr>
            <w:tcW w:w="992" w:type="dxa"/>
            <w:tcBorders>
              <w:top w:val="single" w:sz="4" w:space="0" w:color="auto"/>
              <w:left w:val="single" w:sz="4" w:space="0" w:color="auto"/>
              <w:bottom w:val="single" w:sz="4" w:space="0" w:color="auto"/>
              <w:right w:val="single" w:sz="4" w:space="0" w:color="auto"/>
            </w:tcBorders>
          </w:tcPr>
          <w:p w14:paraId="0BB9F756"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AF7A674"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26399288"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FA9A533" w14:textId="09B72388"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2CFA4BE3" w14:textId="35FB82C3"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12.2 </w:t>
            </w:r>
          </w:p>
        </w:tc>
        <w:tc>
          <w:tcPr>
            <w:tcW w:w="4394" w:type="dxa"/>
            <w:tcBorders>
              <w:top w:val="single" w:sz="4" w:space="0" w:color="auto"/>
              <w:left w:val="single" w:sz="4" w:space="0" w:color="auto"/>
              <w:bottom w:val="single" w:sz="4" w:space="0" w:color="auto"/>
              <w:right w:val="single" w:sz="4" w:space="0" w:color="auto"/>
            </w:tcBorders>
          </w:tcPr>
          <w:p w14:paraId="193E0495"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Memorandum and Articles of Association </w:t>
            </w:r>
          </w:p>
          <w:p w14:paraId="7B4275AF"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register and the entry number therein, if applicable, and a description of the issuer’s objects and purposes and where they can be found in the memorandum and articles of association. </w:t>
            </w:r>
          </w:p>
        </w:tc>
        <w:tc>
          <w:tcPr>
            <w:tcW w:w="992" w:type="dxa"/>
            <w:tcBorders>
              <w:top w:val="single" w:sz="4" w:space="0" w:color="auto"/>
              <w:left w:val="single" w:sz="4" w:space="0" w:color="auto"/>
              <w:bottom w:val="single" w:sz="4" w:space="0" w:color="auto"/>
              <w:right w:val="single" w:sz="4" w:space="0" w:color="auto"/>
            </w:tcBorders>
          </w:tcPr>
          <w:p w14:paraId="09636E0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CDB404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51DACDC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2CDA88FB" w14:textId="52144B8A"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6A335B49" w14:textId="071521F8"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13 </w:t>
            </w:r>
          </w:p>
        </w:tc>
        <w:tc>
          <w:tcPr>
            <w:tcW w:w="4394" w:type="dxa"/>
            <w:tcBorders>
              <w:top w:val="single" w:sz="4" w:space="0" w:color="auto"/>
              <w:left w:val="single" w:sz="4" w:space="0" w:color="auto"/>
              <w:bottom w:val="single" w:sz="4" w:space="0" w:color="auto"/>
              <w:right w:val="single" w:sz="4" w:space="0" w:color="auto"/>
            </w:tcBorders>
          </w:tcPr>
          <w:p w14:paraId="4F41DD7B"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MATERIAL CONTRACTS </w:t>
            </w:r>
          </w:p>
        </w:tc>
        <w:tc>
          <w:tcPr>
            <w:tcW w:w="992" w:type="dxa"/>
            <w:tcBorders>
              <w:top w:val="single" w:sz="4" w:space="0" w:color="auto"/>
              <w:left w:val="single" w:sz="4" w:space="0" w:color="auto"/>
              <w:bottom w:val="single" w:sz="4" w:space="0" w:color="auto"/>
              <w:right w:val="single" w:sz="4" w:space="0" w:color="auto"/>
            </w:tcBorders>
          </w:tcPr>
          <w:p w14:paraId="5357E98A"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BE1B1C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FA2D29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9990C1A" w14:textId="54759C15"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56C5E218" w14:textId="0CD43860"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13.1 </w:t>
            </w:r>
          </w:p>
        </w:tc>
        <w:tc>
          <w:tcPr>
            <w:tcW w:w="4394" w:type="dxa"/>
            <w:tcBorders>
              <w:top w:val="single" w:sz="4" w:space="0" w:color="auto"/>
              <w:left w:val="single" w:sz="4" w:space="0" w:color="auto"/>
              <w:bottom w:val="single" w:sz="4" w:space="0" w:color="auto"/>
              <w:right w:val="single" w:sz="4" w:space="0" w:color="auto"/>
            </w:tcBorders>
          </w:tcPr>
          <w:p w14:paraId="007F958E"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proofErr w:type="gramStart"/>
            <w:r w:rsidRPr="00834D35">
              <w:rPr>
                <w:rFonts w:ascii="Arial" w:eastAsiaTheme="minorHAnsi" w:hAnsi="Arial" w:cs="Arial"/>
                <w:color w:val="000000"/>
                <w:sz w:val="18"/>
                <w:szCs w:val="18"/>
                <w:lang w:eastAsia="en-US"/>
              </w:rPr>
              <w:t>A brief summary</w:t>
            </w:r>
            <w:proofErr w:type="gramEnd"/>
            <w:r w:rsidRPr="00834D35">
              <w:rPr>
                <w:rFonts w:ascii="Arial" w:eastAsiaTheme="minorHAnsi" w:hAnsi="Arial" w:cs="Arial"/>
                <w:color w:val="000000"/>
                <w:sz w:val="18"/>
                <w:szCs w:val="18"/>
                <w:lang w:eastAsia="en-US"/>
              </w:rPr>
              <w:t xml:space="preserve"> of all material contracts that are not entered into in the ordinary course of the issuer’s business, which could result in any group member being under an obligation or an entitlement that is material to the issuer’s ability to meet its obligations to security holders in respect of the securities being issued. </w:t>
            </w:r>
          </w:p>
        </w:tc>
        <w:tc>
          <w:tcPr>
            <w:tcW w:w="992" w:type="dxa"/>
            <w:tcBorders>
              <w:top w:val="single" w:sz="4" w:space="0" w:color="auto"/>
              <w:left w:val="single" w:sz="4" w:space="0" w:color="auto"/>
              <w:bottom w:val="single" w:sz="4" w:space="0" w:color="auto"/>
              <w:right w:val="single" w:sz="4" w:space="0" w:color="auto"/>
            </w:tcBorders>
          </w:tcPr>
          <w:p w14:paraId="1EBA1B0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34E8FD7"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3EF1B88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388058F0" w14:textId="5A4015C3"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3F721F08" w14:textId="50C4D5A0"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14 </w:t>
            </w:r>
          </w:p>
        </w:tc>
        <w:tc>
          <w:tcPr>
            <w:tcW w:w="4394" w:type="dxa"/>
            <w:tcBorders>
              <w:top w:val="single" w:sz="4" w:space="0" w:color="auto"/>
              <w:left w:val="single" w:sz="4" w:space="0" w:color="auto"/>
              <w:bottom w:val="single" w:sz="4" w:space="0" w:color="auto"/>
              <w:right w:val="single" w:sz="4" w:space="0" w:color="auto"/>
            </w:tcBorders>
          </w:tcPr>
          <w:p w14:paraId="181D5631" w14:textId="77777777" w:rsidR="00634D2D" w:rsidRPr="00CE389C" w:rsidRDefault="00634D2D" w:rsidP="00634D2D">
            <w:pPr>
              <w:autoSpaceDE w:val="0"/>
              <w:autoSpaceDN w:val="0"/>
              <w:adjustRightInd w:val="0"/>
              <w:spacing w:after="120"/>
              <w:rPr>
                <w:rFonts w:ascii="Arial" w:eastAsiaTheme="minorHAnsi" w:hAnsi="Arial" w:cs="Arial"/>
                <w:b/>
                <w:color w:val="000000"/>
                <w:sz w:val="18"/>
                <w:szCs w:val="18"/>
                <w:lang w:eastAsia="en-US"/>
              </w:rPr>
            </w:pPr>
            <w:r w:rsidRPr="00CE389C">
              <w:rPr>
                <w:rFonts w:ascii="Arial" w:eastAsiaTheme="minorHAnsi" w:hAnsi="Arial" w:cs="Arial"/>
                <w:b/>
                <w:color w:val="000000"/>
                <w:sz w:val="18"/>
                <w:szCs w:val="18"/>
                <w:lang w:eastAsia="en-US"/>
              </w:rPr>
              <w:t xml:space="preserve">DOCUMENTS AVAILABLE </w:t>
            </w:r>
          </w:p>
        </w:tc>
        <w:tc>
          <w:tcPr>
            <w:tcW w:w="992" w:type="dxa"/>
            <w:tcBorders>
              <w:top w:val="single" w:sz="4" w:space="0" w:color="auto"/>
              <w:left w:val="single" w:sz="4" w:space="0" w:color="auto"/>
              <w:bottom w:val="single" w:sz="4" w:space="0" w:color="auto"/>
              <w:right w:val="single" w:sz="4" w:space="0" w:color="auto"/>
            </w:tcBorders>
          </w:tcPr>
          <w:p w14:paraId="26FBE913"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16F0B15"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678FBF11"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r w:rsidR="00634D2D" w:rsidRPr="00634D2D" w14:paraId="60AB965C" w14:textId="10A1D83A" w:rsidTr="009C694A">
        <w:trPr>
          <w:trHeight w:val="307"/>
        </w:trPr>
        <w:tc>
          <w:tcPr>
            <w:tcW w:w="851" w:type="dxa"/>
            <w:tcBorders>
              <w:top w:val="single" w:sz="4" w:space="0" w:color="auto"/>
              <w:left w:val="single" w:sz="4" w:space="0" w:color="auto"/>
              <w:bottom w:val="single" w:sz="4" w:space="0" w:color="auto"/>
              <w:right w:val="single" w:sz="4" w:space="0" w:color="auto"/>
            </w:tcBorders>
          </w:tcPr>
          <w:p w14:paraId="2EE0BF70" w14:textId="448383EE" w:rsidR="00634D2D" w:rsidRPr="00834D35" w:rsidRDefault="00634D2D" w:rsidP="00634D2D">
            <w:pPr>
              <w:autoSpaceDE w:val="0"/>
              <w:autoSpaceDN w:val="0"/>
              <w:adjustRightInd w:val="0"/>
              <w:spacing w:after="120"/>
              <w:rPr>
                <w:rFonts w:ascii="Arial" w:eastAsiaTheme="minorHAnsi" w:hAnsi="Arial" w:cs="Arial"/>
                <w:bCs/>
                <w:color w:val="000000"/>
                <w:sz w:val="18"/>
                <w:szCs w:val="18"/>
                <w:lang w:eastAsia="en-US"/>
              </w:rPr>
            </w:pPr>
            <w:r w:rsidRPr="00834D35">
              <w:rPr>
                <w:rFonts w:ascii="Arial" w:eastAsiaTheme="minorHAnsi" w:hAnsi="Arial" w:cs="Arial"/>
                <w:bCs/>
                <w:color w:val="000000"/>
                <w:sz w:val="18"/>
                <w:szCs w:val="18"/>
                <w:lang w:eastAsia="en-US"/>
              </w:rPr>
              <w:t xml:space="preserve">14.1 </w:t>
            </w:r>
          </w:p>
        </w:tc>
        <w:tc>
          <w:tcPr>
            <w:tcW w:w="4394" w:type="dxa"/>
            <w:tcBorders>
              <w:top w:val="single" w:sz="4" w:space="0" w:color="auto"/>
              <w:left w:val="single" w:sz="4" w:space="0" w:color="auto"/>
              <w:bottom w:val="single" w:sz="4" w:space="0" w:color="auto"/>
              <w:right w:val="single" w:sz="4" w:space="0" w:color="auto"/>
            </w:tcBorders>
          </w:tcPr>
          <w:p w14:paraId="7F1CF3C4"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 statement that for the term of the registration document the following documents, where applicable, can be inspected: </w:t>
            </w:r>
          </w:p>
          <w:p w14:paraId="14C09C5E" w14:textId="07B28DC9" w:rsidR="00634D2D" w:rsidRPr="00834D35" w:rsidRDefault="00634D2D" w:rsidP="00015C33">
            <w:pPr>
              <w:pStyle w:val="ListParagraph"/>
              <w:numPr>
                <w:ilvl w:val="0"/>
                <w:numId w:val="45"/>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the up to date memorandum and articles of association of the issuer; </w:t>
            </w:r>
          </w:p>
          <w:p w14:paraId="52B16F0D" w14:textId="13505A26" w:rsidR="00634D2D" w:rsidRPr="00834D35" w:rsidRDefault="00634D2D" w:rsidP="00015C33">
            <w:pPr>
              <w:pStyle w:val="ListParagraph"/>
              <w:numPr>
                <w:ilvl w:val="0"/>
                <w:numId w:val="45"/>
              </w:num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all reports, letters, and other documents, valuations and statements prepared by any expert at the issuer’s request any part of which </w:t>
            </w:r>
            <w:r w:rsidRPr="00834D35">
              <w:rPr>
                <w:rFonts w:ascii="Arial" w:eastAsiaTheme="minorHAnsi" w:hAnsi="Arial" w:cs="Arial"/>
                <w:color w:val="000000"/>
                <w:sz w:val="18"/>
                <w:szCs w:val="18"/>
                <w:lang w:eastAsia="en-US"/>
              </w:rPr>
              <w:lastRenderedPageBreak/>
              <w:t xml:space="preserve">is included or referred to in the registration document. </w:t>
            </w:r>
          </w:p>
          <w:p w14:paraId="7BFE2A59" w14:textId="77777777" w:rsidR="00634D2D" w:rsidRPr="00834D35" w:rsidRDefault="00634D2D" w:rsidP="00634D2D">
            <w:pPr>
              <w:autoSpaceDE w:val="0"/>
              <w:autoSpaceDN w:val="0"/>
              <w:adjustRightInd w:val="0"/>
              <w:spacing w:after="120"/>
              <w:rPr>
                <w:rFonts w:ascii="Arial" w:eastAsiaTheme="minorHAnsi" w:hAnsi="Arial" w:cs="Arial"/>
                <w:color w:val="000000"/>
                <w:sz w:val="18"/>
                <w:szCs w:val="18"/>
                <w:lang w:eastAsia="en-US"/>
              </w:rPr>
            </w:pPr>
            <w:r w:rsidRPr="00834D35">
              <w:rPr>
                <w:rFonts w:ascii="Arial" w:eastAsiaTheme="minorHAnsi" w:hAnsi="Arial" w:cs="Arial"/>
                <w:color w:val="000000"/>
                <w:sz w:val="18"/>
                <w:szCs w:val="18"/>
                <w:lang w:eastAsia="en-US"/>
              </w:rPr>
              <w:t xml:space="preserve">An indication of the website on which the documents may be inspected. </w:t>
            </w:r>
          </w:p>
        </w:tc>
        <w:tc>
          <w:tcPr>
            <w:tcW w:w="992" w:type="dxa"/>
            <w:tcBorders>
              <w:top w:val="single" w:sz="4" w:space="0" w:color="auto"/>
              <w:left w:val="single" w:sz="4" w:space="0" w:color="auto"/>
              <w:bottom w:val="single" w:sz="4" w:space="0" w:color="auto"/>
              <w:right w:val="single" w:sz="4" w:space="0" w:color="auto"/>
            </w:tcBorders>
          </w:tcPr>
          <w:p w14:paraId="2D9459B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F003FD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14:paraId="2BF0F5E0" w14:textId="77777777" w:rsidR="00634D2D" w:rsidRPr="00634D2D" w:rsidRDefault="00634D2D" w:rsidP="00634D2D">
            <w:pPr>
              <w:autoSpaceDE w:val="0"/>
              <w:autoSpaceDN w:val="0"/>
              <w:adjustRightInd w:val="0"/>
              <w:spacing w:after="120"/>
              <w:rPr>
                <w:rFonts w:ascii="Arial" w:eastAsiaTheme="minorHAnsi" w:hAnsi="Arial" w:cs="Arial"/>
                <w:color w:val="000000"/>
                <w:sz w:val="18"/>
                <w:szCs w:val="18"/>
                <w:lang w:eastAsia="en-US"/>
              </w:rPr>
            </w:pPr>
          </w:p>
        </w:tc>
      </w:tr>
    </w:tbl>
    <w:p w14:paraId="1B7B3EFA" w14:textId="532C8D49" w:rsidR="00CD1558" w:rsidRPr="006366AE" w:rsidRDefault="00CD1558">
      <w:pPr>
        <w:rPr>
          <w:rFonts w:ascii="Arial" w:hAnsi="Arial" w:cs="Arial"/>
        </w:rPr>
      </w:pPr>
    </w:p>
    <w:p w14:paraId="78D19018" w14:textId="19AEBAB2" w:rsidR="00FD68AC" w:rsidRPr="006366AE" w:rsidRDefault="00FD68AC">
      <w:pPr>
        <w:rPr>
          <w:rFonts w:ascii="Arial" w:hAnsi="Arial" w:cs="Arial"/>
        </w:rPr>
      </w:pPr>
    </w:p>
    <w:p w14:paraId="5F3D0399" w14:textId="77777777" w:rsidR="00FD68AC" w:rsidRPr="006366AE" w:rsidRDefault="00FD68AC">
      <w:pPr>
        <w:rPr>
          <w:rFonts w:ascii="Arial" w:hAnsi="Arial" w:cs="Arial"/>
        </w:rPr>
      </w:pPr>
    </w:p>
    <w:sectPr w:rsidR="00FD68AC" w:rsidRPr="006366AE" w:rsidSect="00FD68AC">
      <w:footerReference w:type="default" r:id="rId11"/>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67B25" w14:textId="77777777" w:rsidR="001C46CE" w:rsidRDefault="001C46CE" w:rsidP="00FB1F6E">
      <w:r>
        <w:separator/>
      </w:r>
    </w:p>
  </w:endnote>
  <w:endnote w:type="continuationSeparator" w:id="0">
    <w:p w14:paraId="7C0E2007" w14:textId="77777777" w:rsidR="001C46CE" w:rsidRDefault="001C46CE"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050A03B4"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9C694A">
          <w:rPr>
            <w:rFonts w:ascii="Arial" w:hAnsi="Arial" w:cs="Arial"/>
            <w:noProof/>
            <w:sz w:val="20"/>
          </w:rPr>
          <w:t>5</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4E35CB">
          <w:rPr>
            <w:rFonts w:ascii="Arial" w:hAnsi="Arial" w:cs="Arial"/>
            <w:noProof/>
            <w:sz w:val="20"/>
          </w:rPr>
          <w:t xml:space="preserve">January </w:t>
        </w:r>
        <w:r w:rsidR="004A4193">
          <w:rPr>
            <w:rFonts w:ascii="Arial" w:hAnsi="Arial" w:cs="Arial"/>
            <w:noProof/>
            <w:sz w:val="20"/>
          </w:rPr>
          <w:t>202</w:t>
        </w:r>
        <w:r w:rsidR="004E35CB">
          <w:rPr>
            <w:rFonts w:ascii="Arial" w:hAnsi="Arial" w:cs="Arial"/>
            <w:noProof/>
            <w:sz w:val="20"/>
          </w:rPr>
          <w:t>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029AC" w14:textId="77777777" w:rsidR="001C46CE" w:rsidRDefault="001C46CE" w:rsidP="00FB1F6E">
      <w:r>
        <w:separator/>
      </w:r>
    </w:p>
  </w:footnote>
  <w:footnote w:type="continuationSeparator" w:id="0">
    <w:p w14:paraId="53E54932" w14:textId="77777777" w:rsidR="001C46CE" w:rsidRDefault="001C46CE" w:rsidP="00FB1F6E">
      <w:r>
        <w:continuationSeparator/>
      </w:r>
    </w:p>
  </w:footnote>
  <w:footnote w:id="1">
    <w:p w14:paraId="63FA70D7" w14:textId="77777777" w:rsidR="004E35CB" w:rsidRDefault="004E35CB" w:rsidP="004E35CB">
      <w:pPr>
        <w:pStyle w:val="FootnoteText"/>
        <w:rPr>
          <w:rFonts w:ascii="Arial" w:hAnsi="Arial" w:cs="Arial"/>
          <w:sz w:val="14"/>
        </w:rPr>
      </w:pPr>
      <w:r>
        <w:rPr>
          <w:rStyle w:val="FootnoteReference"/>
        </w:rPr>
        <w:footnoteRef/>
      </w:r>
      <w:r>
        <w:t xml:space="preserve"> </w:t>
      </w:r>
      <w:r>
        <w:rPr>
          <w:rFonts w:ascii="Arial" w:hAnsi="Arial" w:cs="Arial"/>
          <w:sz w:val="14"/>
        </w:rPr>
        <w:t xml:space="preserve">Article 23a of the UK version of Regulation number 2019/980 of the European Commission, which is part of UK law </w:t>
      </w:r>
      <w:proofErr w:type="gramStart"/>
      <w:r>
        <w:rPr>
          <w:rFonts w:ascii="Arial" w:hAnsi="Arial" w:cs="Arial"/>
          <w:sz w:val="14"/>
        </w:rPr>
        <w:t>by virtue of</w:t>
      </w:r>
      <w:proofErr w:type="gramEnd"/>
      <w:r>
        <w:rPr>
          <w:rFonts w:ascii="Arial" w:hAnsi="Arial" w:cs="Arial"/>
          <w:sz w:val="14"/>
        </w:rPr>
        <w:t xml:space="preserve"> the European Union (Withdrawal) Act 2018</w:t>
      </w:r>
    </w:p>
    <w:p w14:paraId="4ACFC740" w14:textId="6162232A" w:rsidR="004E35CB" w:rsidRDefault="004E35C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57B7B09"/>
    <w:multiLevelType w:val="hybridMultilevel"/>
    <w:tmpl w:val="BDB8B140"/>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27398"/>
    <w:multiLevelType w:val="hybridMultilevel"/>
    <w:tmpl w:val="9DB6FB10"/>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5137C"/>
    <w:multiLevelType w:val="hybridMultilevel"/>
    <w:tmpl w:val="5E369446"/>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5C5A32"/>
    <w:multiLevelType w:val="hybridMultilevel"/>
    <w:tmpl w:val="D92617A4"/>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507915"/>
    <w:multiLevelType w:val="hybridMultilevel"/>
    <w:tmpl w:val="F3081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8" w15:restartNumberingAfterBreak="0">
    <w:nsid w:val="15D37E4A"/>
    <w:multiLevelType w:val="hybridMultilevel"/>
    <w:tmpl w:val="863E7E3C"/>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5B6007"/>
    <w:multiLevelType w:val="hybridMultilevel"/>
    <w:tmpl w:val="4F3298D2"/>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B87612"/>
    <w:multiLevelType w:val="hybridMultilevel"/>
    <w:tmpl w:val="CDF0FA44"/>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2" w15:restartNumberingAfterBreak="0">
    <w:nsid w:val="23576D36"/>
    <w:multiLevelType w:val="hybridMultilevel"/>
    <w:tmpl w:val="6598EE06"/>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4" w15:restartNumberingAfterBreak="0">
    <w:nsid w:val="259633EE"/>
    <w:multiLevelType w:val="hybridMultilevel"/>
    <w:tmpl w:val="477CEFBA"/>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C62333"/>
    <w:multiLevelType w:val="hybridMultilevel"/>
    <w:tmpl w:val="2132C9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E27D77"/>
    <w:multiLevelType w:val="hybridMultilevel"/>
    <w:tmpl w:val="1794D2F6"/>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937949"/>
    <w:multiLevelType w:val="hybridMultilevel"/>
    <w:tmpl w:val="5AA0205E"/>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825D2E"/>
    <w:multiLevelType w:val="hybridMultilevel"/>
    <w:tmpl w:val="572A4312"/>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20" w15:restartNumberingAfterBreak="0">
    <w:nsid w:val="32F21CD6"/>
    <w:multiLevelType w:val="hybridMultilevel"/>
    <w:tmpl w:val="E3722A50"/>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22" w15:restartNumberingAfterBreak="0">
    <w:nsid w:val="3A6C0078"/>
    <w:multiLevelType w:val="hybridMultilevel"/>
    <w:tmpl w:val="5AA87A98"/>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825B42"/>
    <w:multiLevelType w:val="hybridMultilevel"/>
    <w:tmpl w:val="601220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20710A"/>
    <w:multiLevelType w:val="hybridMultilevel"/>
    <w:tmpl w:val="99E46CE6"/>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0156A2"/>
    <w:multiLevelType w:val="hybridMultilevel"/>
    <w:tmpl w:val="EE4A1DBC"/>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EB7D49"/>
    <w:multiLevelType w:val="hybridMultilevel"/>
    <w:tmpl w:val="601A1CCA"/>
    <w:lvl w:ilvl="0" w:tplc="4F0E300A">
      <w:start w:val="1"/>
      <w:numFmt w:val="lowerLetter"/>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4C6031"/>
    <w:multiLevelType w:val="hybridMultilevel"/>
    <w:tmpl w:val="F31871BE"/>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9" w15:restartNumberingAfterBreak="0">
    <w:nsid w:val="4DE6322B"/>
    <w:multiLevelType w:val="hybridMultilevel"/>
    <w:tmpl w:val="5DA02F5E"/>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2D0DDB"/>
    <w:multiLevelType w:val="hybridMultilevel"/>
    <w:tmpl w:val="3EFC9532"/>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446DCE"/>
    <w:multiLevelType w:val="hybridMultilevel"/>
    <w:tmpl w:val="ABEE5DBA"/>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33"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34" w15:restartNumberingAfterBreak="0">
    <w:nsid w:val="63812B00"/>
    <w:multiLevelType w:val="hybridMultilevel"/>
    <w:tmpl w:val="A7DE96E6"/>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36" w15:restartNumberingAfterBreak="0">
    <w:nsid w:val="64671613"/>
    <w:multiLevelType w:val="hybridMultilevel"/>
    <w:tmpl w:val="B7EA2DEE"/>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5C51417"/>
    <w:multiLevelType w:val="hybridMultilevel"/>
    <w:tmpl w:val="9B80E4E0"/>
    <w:lvl w:ilvl="0" w:tplc="8CA284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CC22A8"/>
    <w:multiLevelType w:val="hybridMultilevel"/>
    <w:tmpl w:val="72D01746"/>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5EF51A5"/>
    <w:multiLevelType w:val="hybridMultilevel"/>
    <w:tmpl w:val="D3145818"/>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7F5635F"/>
    <w:multiLevelType w:val="hybridMultilevel"/>
    <w:tmpl w:val="0B1EEA5E"/>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8624C8A"/>
    <w:multiLevelType w:val="hybridMultilevel"/>
    <w:tmpl w:val="36862A54"/>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A8587A"/>
    <w:multiLevelType w:val="hybridMultilevel"/>
    <w:tmpl w:val="0060BE70"/>
    <w:lvl w:ilvl="0" w:tplc="43F8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44" w15:restartNumberingAfterBreak="0">
    <w:nsid w:val="743C7914"/>
    <w:multiLevelType w:val="hybridMultilevel"/>
    <w:tmpl w:val="A71EA6A8"/>
    <w:lvl w:ilvl="0" w:tplc="43F801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5"/>
  </w:num>
  <w:num w:numId="3">
    <w:abstractNumId w:val="33"/>
  </w:num>
  <w:num w:numId="4">
    <w:abstractNumId w:val="28"/>
  </w:num>
  <w:num w:numId="5">
    <w:abstractNumId w:val="13"/>
  </w:num>
  <w:num w:numId="6">
    <w:abstractNumId w:val="43"/>
  </w:num>
  <w:num w:numId="7">
    <w:abstractNumId w:val="32"/>
  </w:num>
  <w:num w:numId="8">
    <w:abstractNumId w:val="1"/>
  </w:num>
  <w:num w:numId="9">
    <w:abstractNumId w:val="7"/>
  </w:num>
  <w:num w:numId="10">
    <w:abstractNumId w:val="21"/>
  </w:num>
  <w:num w:numId="11">
    <w:abstractNumId w:val="11"/>
  </w:num>
  <w:num w:numId="12">
    <w:abstractNumId w:val="19"/>
  </w:num>
  <w:num w:numId="13">
    <w:abstractNumId w:val="23"/>
  </w:num>
  <w:num w:numId="14">
    <w:abstractNumId w:val="15"/>
  </w:num>
  <w:num w:numId="15">
    <w:abstractNumId w:val="41"/>
  </w:num>
  <w:num w:numId="16">
    <w:abstractNumId w:val="5"/>
  </w:num>
  <w:num w:numId="17">
    <w:abstractNumId w:val="4"/>
  </w:num>
  <w:num w:numId="18">
    <w:abstractNumId w:val="31"/>
  </w:num>
  <w:num w:numId="19">
    <w:abstractNumId w:val="16"/>
  </w:num>
  <w:num w:numId="20">
    <w:abstractNumId w:val="39"/>
  </w:num>
  <w:num w:numId="21">
    <w:abstractNumId w:val="44"/>
  </w:num>
  <w:num w:numId="22">
    <w:abstractNumId w:val="10"/>
  </w:num>
  <w:num w:numId="23">
    <w:abstractNumId w:val="20"/>
  </w:num>
  <w:num w:numId="24">
    <w:abstractNumId w:val="25"/>
  </w:num>
  <w:num w:numId="25">
    <w:abstractNumId w:val="6"/>
  </w:num>
  <w:num w:numId="26">
    <w:abstractNumId w:val="37"/>
  </w:num>
  <w:num w:numId="27">
    <w:abstractNumId w:val="34"/>
  </w:num>
  <w:num w:numId="28">
    <w:abstractNumId w:val="8"/>
  </w:num>
  <w:num w:numId="29">
    <w:abstractNumId w:val="26"/>
  </w:num>
  <w:num w:numId="30">
    <w:abstractNumId w:val="38"/>
  </w:num>
  <w:num w:numId="31">
    <w:abstractNumId w:val="30"/>
  </w:num>
  <w:num w:numId="32">
    <w:abstractNumId w:val="9"/>
  </w:num>
  <w:num w:numId="33">
    <w:abstractNumId w:val="36"/>
  </w:num>
  <w:num w:numId="34">
    <w:abstractNumId w:val="2"/>
  </w:num>
  <w:num w:numId="35">
    <w:abstractNumId w:val="12"/>
  </w:num>
  <w:num w:numId="36">
    <w:abstractNumId w:val="29"/>
  </w:num>
  <w:num w:numId="37">
    <w:abstractNumId w:val="14"/>
  </w:num>
  <w:num w:numId="38">
    <w:abstractNumId w:val="42"/>
  </w:num>
  <w:num w:numId="39">
    <w:abstractNumId w:val="17"/>
  </w:num>
  <w:num w:numId="40">
    <w:abstractNumId w:val="3"/>
  </w:num>
  <w:num w:numId="41">
    <w:abstractNumId w:val="24"/>
  </w:num>
  <w:num w:numId="42">
    <w:abstractNumId w:val="22"/>
  </w:num>
  <w:num w:numId="43">
    <w:abstractNumId w:val="18"/>
  </w:num>
  <w:num w:numId="44">
    <w:abstractNumId w:val="27"/>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15C33"/>
    <w:rsid w:val="00072EF3"/>
    <w:rsid w:val="000C04AD"/>
    <w:rsid w:val="00117D8B"/>
    <w:rsid w:val="00161A74"/>
    <w:rsid w:val="001C46CE"/>
    <w:rsid w:val="002842EF"/>
    <w:rsid w:val="002C119D"/>
    <w:rsid w:val="004A4193"/>
    <w:rsid w:val="004E2B45"/>
    <w:rsid w:val="004E35CB"/>
    <w:rsid w:val="005128F7"/>
    <w:rsid w:val="00634D2D"/>
    <w:rsid w:val="006366AE"/>
    <w:rsid w:val="006B52D7"/>
    <w:rsid w:val="00834D35"/>
    <w:rsid w:val="008F4819"/>
    <w:rsid w:val="009B6959"/>
    <w:rsid w:val="009C694A"/>
    <w:rsid w:val="009E421A"/>
    <w:rsid w:val="009F6F91"/>
    <w:rsid w:val="00A9200E"/>
    <w:rsid w:val="00C17A7C"/>
    <w:rsid w:val="00CA7576"/>
    <w:rsid w:val="00CD1558"/>
    <w:rsid w:val="00CE389C"/>
    <w:rsid w:val="00D17EF5"/>
    <w:rsid w:val="00D32888"/>
    <w:rsid w:val="00D97FDD"/>
    <w:rsid w:val="00EC6E0E"/>
    <w:rsid w:val="00EF22EB"/>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72EF3"/>
    <w:pPr>
      <w:ind w:left="720"/>
      <w:contextualSpacing/>
    </w:pPr>
  </w:style>
  <w:style w:type="paragraph" w:styleId="BalloonText">
    <w:name w:val="Balloon Text"/>
    <w:basedOn w:val="Normal"/>
    <w:link w:val="BalloonTextChar"/>
    <w:uiPriority w:val="99"/>
    <w:semiHidden/>
    <w:unhideWhenUsed/>
    <w:rsid w:val="00161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A74"/>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4E35CB"/>
    <w:rPr>
      <w:sz w:val="20"/>
    </w:rPr>
  </w:style>
  <w:style w:type="character" w:customStyle="1" w:styleId="FootnoteTextChar">
    <w:name w:val="Footnote Text Char"/>
    <w:basedOn w:val="DefaultParagraphFont"/>
    <w:link w:val="FootnoteText"/>
    <w:uiPriority w:val="99"/>
    <w:semiHidden/>
    <w:rsid w:val="004E35C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E3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2955700">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043D-60CC-46F6-B3A9-E1E71C51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F9B09-D164-4036-82A8-16B82FB78B37}">
  <ds:schemaRefs>
    <ds:schemaRef ds:uri="http://schemas.microsoft.com/sharepoint/v3/contenttype/forms"/>
  </ds:schemaRefs>
</ds:datastoreItem>
</file>

<file path=customXml/itemProps3.xml><?xml version="1.0" encoding="utf-8"?>
<ds:datastoreItem xmlns:ds="http://schemas.openxmlformats.org/officeDocument/2006/customXml" ds:itemID="{DA2453F0-C659-451A-9FD6-EC08EF20CB67}">
  <ds:schemaRefs>
    <ds:schemaRef ds:uri="http://purl.org/dc/dcmitype/"/>
    <ds:schemaRef ds:uri="http://schemas.microsoft.com/office/2006/documentManagement/types"/>
    <ds:schemaRef ds:uri="http://purl.org/dc/elements/1.1/"/>
    <ds:schemaRef ds:uri="http://schemas.microsoft.com/office/2006/metadata/properties"/>
    <ds:schemaRef ds:uri="e8af92bc-8e34-4a61-9cd3-9718f5025eb6"/>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11F19C3-2343-454D-A8E2-AC06654C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6</cp:revision>
  <dcterms:created xsi:type="dcterms:W3CDTF">2020-12-29T15:24:00Z</dcterms:created>
  <dcterms:modified xsi:type="dcterms:W3CDTF">2020-12-30T18:37:00Z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