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348C6" w14:textId="681BF47D" w:rsidR="003C38C4" w:rsidRPr="006366AE" w:rsidRDefault="000C04AD" w:rsidP="003C38C4">
      <w:pPr>
        <w:pStyle w:val="BodyText"/>
        <w:jc w:val="center"/>
        <w:rPr>
          <w:rFonts w:ascii="Arial" w:hAnsi="Arial" w:cs="Arial"/>
          <w:b/>
          <w:sz w:val="22"/>
          <w:szCs w:val="22"/>
        </w:rPr>
      </w:pPr>
      <w:r w:rsidRPr="006366AE">
        <w:rPr>
          <w:rFonts w:ascii="Arial" w:hAnsi="Arial" w:cs="Arial"/>
          <w:b/>
          <w:sz w:val="22"/>
          <w:szCs w:val="22"/>
        </w:rPr>
        <w:t xml:space="preserve">Cross-reference list – Annex </w:t>
      </w:r>
      <w:r w:rsidR="00296BC5">
        <w:rPr>
          <w:rFonts w:ascii="Arial" w:hAnsi="Arial" w:cs="Arial"/>
          <w:b/>
          <w:sz w:val="22"/>
          <w:szCs w:val="22"/>
        </w:rPr>
        <w:t>2</w:t>
      </w:r>
      <w:r w:rsidR="00BD4924">
        <w:rPr>
          <w:rFonts w:ascii="Arial" w:hAnsi="Arial" w:cs="Arial"/>
          <w:b/>
          <w:sz w:val="22"/>
          <w:szCs w:val="22"/>
        </w:rPr>
        <w:t>7</w:t>
      </w:r>
    </w:p>
    <w:p w14:paraId="5C14B38B" w14:textId="00AA8AAE" w:rsidR="00E23BA6" w:rsidRPr="003C38C4" w:rsidRDefault="00C46B0B" w:rsidP="00E23BA6">
      <w:pPr>
        <w:pStyle w:val="Default"/>
        <w:jc w:val="center"/>
        <w:rPr>
          <w:rFonts w:ascii="Arial" w:hAnsi="Arial" w:cs="Arial"/>
          <w:sz w:val="23"/>
          <w:szCs w:val="23"/>
        </w:rPr>
      </w:pPr>
      <w:r>
        <w:rPr>
          <w:rFonts w:ascii="Arial" w:hAnsi="Arial" w:cs="Arial"/>
          <w:b/>
          <w:bCs/>
          <w:sz w:val="23"/>
          <w:szCs w:val="23"/>
        </w:rPr>
        <w:t xml:space="preserve">UK </w:t>
      </w:r>
      <w:r w:rsidR="003C38C4">
        <w:rPr>
          <w:rFonts w:ascii="Arial" w:hAnsi="Arial" w:cs="Arial"/>
          <w:b/>
          <w:bCs/>
          <w:sz w:val="23"/>
          <w:szCs w:val="23"/>
        </w:rPr>
        <w:t>Growth Securities Note f</w:t>
      </w:r>
      <w:r w:rsidR="003C38C4" w:rsidRPr="003C38C4">
        <w:rPr>
          <w:rFonts w:ascii="Arial" w:hAnsi="Arial" w:cs="Arial"/>
          <w:b/>
          <w:bCs/>
          <w:sz w:val="23"/>
          <w:szCs w:val="23"/>
        </w:rPr>
        <w:t xml:space="preserve">or Non-Equity Securities </w:t>
      </w:r>
    </w:p>
    <w:p w14:paraId="44132AEC" w14:textId="6FFE7234" w:rsidR="00584BF5" w:rsidRPr="00584BF5" w:rsidRDefault="00584BF5" w:rsidP="00584BF5">
      <w:pPr>
        <w:autoSpaceDE w:val="0"/>
        <w:autoSpaceDN w:val="0"/>
        <w:adjustRightInd w:val="0"/>
        <w:jc w:val="center"/>
        <w:rPr>
          <w:rFonts w:ascii="Arial" w:eastAsiaTheme="minorHAnsi" w:hAnsi="Arial" w:cs="Arial"/>
          <w:color w:val="000000"/>
          <w:sz w:val="22"/>
          <w:szCs w:val="22"/>
          <w:lang w:eastAsia="en-US"/>
        </w:rPr>
      </w:pPr>
    </w:p>
    <w:p w14:paraId="28076B00" w14:textId="0256C4BD" w:rsidR="008F4819" w:rsidRPr="00977704" w:rsidRDefault="00A910B2" w:rsidP="00977704">
      <w:pPr>
        <w:autoSpaceDE w:val="0"/>
        <w:autoSpaceDN w:val="0"/>
        <w:adjustRightInd w:val="0"/>
        <w:rPr>
          <w:rFonts w:ascii="Arial" w:eastAsiaTheme="minorHAnsi" w:hAnsi="Arial" w:cs="Arial"/>
          <w:color w:val="000000"/>
          <w:sz w:val="22"/>
          <w:szCs w:val="22"/>
          <w:lang w:eastAsia="en-US"/>
        </w:rPr>
      </w:pPr>
      <w:r w:rsidRPr="00A910B2">
        <w:rPr>
          <w:rFonts w:ascii="Arial" w:eastAsiaTheme="minorHAnsi" w:hAnsi="Arial" w:cs="Arial"/>
          <w:b/>
          <w:bCs/>
          <w:color w:val="000000"/>
          <w:sz w:val="22"/>
          <w:szCs w:val="22"/>
          <w:lang w:eastAsia="en-US"/>
        </w:rPr>
        <w:t xml:space="preserve"> </w:t>
      </w: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36"/>
        <w:gridCol w:w="8637"/>
      </w:tblGrid>
      <w:tr w:rsidR="00FD68AC" w:rsidRPr="006366AE" w14:paraId="40637FFD" w14:textId="77777777" w:rsidTr="00255963">
        <w:tc>
          <w:tcPr>
            <w:tcW w:w="2136" w:type="dxa"/>
          </w:tcPr>
          <w:p w14:paraId="3FA0AE59"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Company:</w:t>
            </w:r>
          </w:p>
        </w:tc>
        <w:tc>
          <w:tcPr>
            <w:tcW w:w="8637" w:type="dxa"/>
          </w:tcPr>
          <w:p w14:paraId="124D73E3" w14:textId="77777777" w:rsidR="008F4819" w:rsidRPr="006366AE" w:rsidRDefault="008F4819" w:rsidP="00867A71">
            <w:pPr>
              <w:pStyle w:val="TableText"/>
              <w:rPr>
                <w:rFonts w:ascii="Arial" w:hAnsi="Arial" w:cs="Arial"/>
              </w:rPr>
            </w:pPr>
          </w:p>
        </w:tc>
      </w:tr>
      <w:tr w:rsidR="00FD68AC" w:rsidRPr="006366AE" w14:paraId="050DAF9F" w14:textId="77777777" w:rsidTr="00255963">
        <w:tc>
          <w:tcPr>
            <w:tcW w:w="2136" w:type="dxa"/>
          </w:tcPr>
          <w:p w14:paraId="4431F36A" w14:textId="77777777" w:rsidR="008F4819" w:rsidRPr="006366AE" w:rsidRDefault="008F4819" w:rsidP="00867A71">
            <w:pPr>
              <w:pStyle w:val="TableText"/>
              <w:rPr>
                <w:rFonts w:ascii="Arial" w:hAnsi="Arial" w:cs="Arial"/>
                <w:i/>
                <w:sz w:val="18"/>
              </w:rPr>
            </w:pPr>
            <w:r w:rsidRPr="006366AE">
              <w:rPr>
                <w:rFonts w:ascii="Arial" w:hAnsi="Arial" w:cs="Arial"/>
                <w:i/>
                <w:sz w:val="18"/>
              </w:rPr>
              <w:t>Nature of Transaction:</w:t>
            </w:r>
          </w:p>
        </w:tc>
        <w:tc>
          <w:tcPr>
            <w:tcW w:w="8637" w:type="dxa"/>
          </w:tcPr>
          <w:p w14:paraId="4B53EF91" w14:textId="77777777" w:rsidR="008F4819" w:rsidRPr="006366AE" w:rsidRDefault="008F4819" w:rsidP="00867A71">
            <w:pPr>
              <w:pStyle w:val="TableText"/>
              <w:rPr>
                <w:rFonts w:ascii="Arial" w:hAnsi="Arial" w:cs="Arial"/>
              </w:rPr>
            </w:pPr>
          </w:p>
          <w:p w14:paraId="6E1A6125" w14:textId="77777777" w:rsidR="008F4819" w:rsidRPr="006366AE" w:rsidRDefault="008F4819" w:rsidP="00867A71">
            <w:pPr>
              <w:pStyle w:val="TableText"/>
              <w:rPr>
                <w:rFonts w:ascii="Arial" w:hAnsi="Arial" w:cs="Arial"/>
              </w:rPr>
            </w:pPr>
          </w:p>
        </w:tc>
      </w:tr>
      <w:tr w:rsidR="00FD68AC" w:rsidRPr="006366AE" w14:paraId="70E7D4FD" w14:textId="77777777" w:rsidTr="00255963">
        <w:tc>
          <w:tcPr>
            <w:tcW w:w="2136" w:type="dxa"/>
          </w:tcPr>
          <w:p w14:paraId="79171EE1" w14:textId="77777777" w:rsidR="008F4819" w:rsidRPr="006366AE" w:rsidRDefault="008F4819" w:rsidP="00867A71">
            <w:pPr>
              <w:pStyle w:val="TableText"/>
              <w:rPr>
                <w:rFonts w:ascii="Arial" w:hAnsi="Arial" w:cs="Arial"/>
                <w:i/>
                <w:sz w:val="18"/>
              </w:rPr>
            </w:pPr>
            <w:r w:rsidRPr="006366AE">
              <w:rPr>
                <w:rFonts w:ascii="Arial" w:hAnsi="Arial" w:cs="Arial"/>
                <w:i/>
                <w:sz w:val="18"/>
              </w:rPr>
              <w:t>Name of Sponsor/Adviser:</w:t>
            </w:r>
          </w:p>
        </w:tc>
        <w:tc>
          <w:tcPr>
            <w:tcW w:w="8637" w:type="dxa"/>
          </w:tcPr>
          <w:p w14:paraId="07089FD1" w14:textId="77777777" w:rsidR="008F4819" w:rsidRPr="006366AE" w:rsidRDefault="008F4819" w:rsidP="00867A71">
            <w:pPr>
              <w:pStyle w:val="TableText"/>
              <w:rPr>
                <w:rFonts w:ascii="Arial" w:hAnsi="Arial" w:cs="Arial"/>
              </w:rPr>
            </w:pPr>
          </w:p>
        </w:tc>
      </w:tr>
      <w:tr w:rsidR="00FD68AC" w:rsidRPr="006366AE" w14:paraId="4A43FF6B" w14:textId="77777777" w:rsidTr="00255963">
        <w:tc>
          <w:tcPr>
            <w:tcW w:w="2136" w:type="dxa"/>
          </w:tcPr>
          <w:p w14:paraId="08E2D35E" w14:textId="77777777" w:rsidR="008F4819" w:rsidRPr="006366AE" w:rsidRDefault="008F4819" w:rsidP="00867A71">
            <w:pPr>
              <w:pStyle w:val="TableText"/>
              <w:rPr>
                <w:rFonts w:ascii="Arial" w:hAnsi="Arial" w:cs="Arial"/>
                <w:i/>
                <w:sz w:val="18"/>
              </w:rPr>
            </w:pPr>
            <w:r w:rsidRPr="006366AE">
              <w:rPr>
                <w:rFonts w:ascii="Arial" w:hAnsi="Arial" w:cs="Arial"/>
                <w:i/>
                <w:sz w:val="18"/>
              </w:rPr>
              <w:t>Date Submitted:</w:t>
            </w:r>
          </w:p>
        </w:tc>
        <w:tc>
          <w:tcPr>
            <w:tcW w:w="8637" w:type="dxa"/>
          </w:tcPr>
          <w:p w14:paraId="00D36E88" w14:textId="77777777" w:rsidR="008F4819" w:rsidRPr="006366AE" w:rsidRDefault="008F4819" w:rsidP="00867A71">
            <w:pPr>
              <w:pStyle w:val="TableText"/>
              <w:rPr>
                <w:rFonts w:ascii="Arial" w:hAnsi="Arial" w:cs="Arial"/>
              </w:rPr>
            </w:pPr>
          </w:p>
        </w:tc>
      </w:tr>
    </w:tbl>
    <w:p w14:paraId="339C96AC" w14:textId="6C0A9D32" w:rsidR="000C04AD" w:rsidRDefault="000C04AD" w:rsidP="008F4819">
      <w:pPr>
        <w:pStyle w:val="Lev1Text"/>
        <w:rPr>
          <w:rFonts w:ascii="Arial" w:hAnsi="Arial" w:cs="Arial"/>
        </w:rPr>
      </w:pPr>
    </w:p>
    <w:p w14:paraId="6E3D6D4A" w14:textId="77777777" w:rsidR="003C38C4" w:rsidRDefault="003C38C4" w:rsidP="008F4819">
      <w:pPr>
        <w:pStyle w:val="Lev1Text"/>
        <w:rPr>
          <w:rFonts w:ascii="Arial" w:hAnsi="Arial" w:cs="Arial"/>
        </w:rPr>
      </w:pPr>
    </w:p>
    <w:tbl>
      <w:tblPr>
        <w:tblW w:w="107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616"/>
        <w:gridCol w:w="5354"/>
        <w:gridCol w:w="1271"/>
        <w:gridCol w:w="707"/>
        <w:gridCol w:w="990"/>
        <w:gridCol w:w="1835"/>
      </w:tblGrid>
      <w:tr w:rsidR="00D026E8" w:rsidRPr="00484D19" w14:paraId="09FE5525" w14:textId="77777777" w:rsidTr="00255963">
        <w:trPr>
          <w:trHeight w:val="383"/>
          <w:tblHeader/>
        </w:trPr>
        <w:tc>
          <w:tcPr>
            <w:tcW w:w="566" w:type="dxa"/>
            <w:shd w:val="clear" w:color="auto" w:fill="632423"/>
          </w:tcPr>
          <w:p w14:paraId="08E6DABF" w14:textId="77777777" w:rsidR="00D026E8" w:rsidRPr="00484D19" w:rsidRDefault="00D026E8" w:rsidP="00AB5CD8">
            <w:pPr>
              <w:pStyle w:val="Default"/>
              <w:spacing w:after="60"/>
              <w:rPr>
                <w:rFonts w:ascii="Arial" w:hAnsi="Arial" w:cs="Arial"/>
                <w:b/>
                <w:color w:val="FFFFFF" w:themeColor="background1"/>
                <w:sz w:val="18"/>
                <w:szCs w:val="18"/>
              </w:rPr>
            </w:pPr>
            <w:r w:rsidRPr="00484D19">
              <w:rPr>
                <w:rFonts w:ascii="Arial" w:hAnsi="Arial" w:cs="Arial"/>
                <w:b/>
                <w:color w:val="FFFFFF" w:themeColor="background1"/>
                <w:sz w:val="18"/>
                <w:szCs w:val="18"/>
              </w:rPr>
              <w:t>Rule</w:t>
            </w:r>
          </w:p>
        </w:tc>
        <w:tc>
          <w:tcPr>
            <w:tcW w:w="5388" w:type="dxa"/>
            <w:shd w:val="clear" w:color="auto" w:fill="632423"/>
          </w:tcPr>
          <w:p w14:paraId="1B628E02" w14:textId="77777777" w:rsidR="00D026E8" w:rsidRPr="00484D19" w:rsidRDefault="00D026E8" w:rsidP="00AB5CD8">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1275" w:type="dxa"/>
            <w:shd w:val="clear" w:color="auto" w:fill="632423"/>
          </w:tcPr>
          <w:p w14:paraId="2BA23EF9" w14:textId="77777777" w:rsidR="00D026E8" w:rsidRPr="00484D19" w:rsidRDefault="00D026E8" w:rsidP="00AB5CD8">
            <w:pPr>
              <w:autoSpaceDE w:val="0"/>
              <w:autoSpaceDN w:val="0"/>
              <w:adjustRightInd w:val="0"/>
              <w:spacing w:after="60"/>
              <w:rPr>
                <w:rFonts w:ascii="Arial" w:eastAsiaTheme="minorHAnsi" w:hAnsi="Arial" w:cs="Arial"/>
                <w:b/>
                <w:bCs/>
                <w:color w:val="FFFFFF" w:themeColor="background1"/>
                <w:sz w:val="18"/>
                <w:szCs w:val="18"/>
                <w:lang w:eastAsia="en-US"/>
              </w:rPr>
            </w:pPr>
          </w:p>
        </w:tc>
        <w:tc>
          <w:tcPr>
            <w:tcW w:w="709" w:type="dxa"/>
            <w:shd w:val="clear" w:color="auto" w:fill="632423"/>
          </w:tcPr>
          <w:p w14:paraId="2EEE942E" w14:textId="14C6D9E7" w:rsidR="00D026E8" w:rsidRPr="00484D19" w:rsidRDefault="00D026E8" w:rsidP="00AB5CD8">
            <w:pPr>
              <w:autoSpaceDE w:val="0"/>
              <w:autoSpaceDN w:val="0"/>
              <w:adjustRightInd w:val="0"/>
              <w:spacing w:after="60"/>
              <w:rPr>
                <w:rFonts w:ascii="Arial" w:eastAsiaTheme="minorHAnsi" w:hAnsi="Arial" w:cs="Arial"/>
                <w:b/>
                <w:bCs/>
                <w:color w:val="FFFFFF" w:themeColor="background1"/>
                <w:sz w:val="18"/>
                <w:szCs w:val="18"/>
                <w:lang w:eastAsia="en-US"/>
              </w:rPr>
            </w:pPr>
            <w:r w:rsidRPr="00484D19">
              <w:rPr>
                <w:rFonts w:ascii="Arial" w:eastAsiaTheme="minorHAnsi" w:hAnsi="Arial" w:cs="Arial"/>
                <w:b/>
                <w:bCs/>
                <w:color w:val="FFFFFF" w:themeColor="background1"/>
                <w:sz w:val="18"/>
                <w:szCs w:val="18"/>
                <w:lang w:eastAsia="en-US"/>
              </w:rPr>
              <w:t>Page</w:t>
            </w:r>
          </w:p>
        </w:tc>
        <w:tc>
          <w:tcPr>
            <w:tcW w:w="992" w:type="dxa"/>
            <w:shd w:val="clear" w:color="auto" w:fill="632423"/>
          </w:tcPr>
          <w:p w14:paraId="11B77E0F" w14:textId="77777777" w:rsidR="00D026E8" w:rsidRPr="00484D19" w:rsidRDefault="00D026E8" w:rsidP="00AB5CD8">
            <w:pPr>
              <w:autoSpaceDE w:val="0"/>
              <w:autoSpaceDN w:val="0"/>
              <w:adjustRightInd w:val="0"/>
              <w:spacing w:after="60"/>
              <w:rPr>
                <w:rFonts w:ascii="Arial" w:eastAsiaTheme="minorHAnsi" w:hAnsi="Arial" w:cs="Arial"/>
                <w:b/>
                <w:bCs/>
                <w:color w:val="FFFFFF" w:themeColor="background1"/>
                <w:sz w:val="18"/>
                <w:szCs w:val="18"/>
                <w:lang w:eastAsia="en-US"/>
              </w:rPr>
            </w:pPr>
            <w:r w:rsidRPr="00484D19">
              <w:rPr>
                <w:rFonts w:ascii="Arial" w:eastAsiaTheme="minorHAnsi" w:hAnsi="Arial" w:cs="Arial"/>
                <w:b/>
                <w:bCs/>
                <w:color w:val="FFFFFF" w:themeColor="background1"/>
                <w:sz w:val="18"/>
                <w:szCs w:val="18"/>
                <w:lang w:eastAsia="en-US"/>
              </w:rPr>
              <w:t>Proof Number</w:t>
            </w:r>
          </w:p>
        </w:tc>
        <w:tc>
          <w:tcPr>
            <w:tcW w:w="1843" w:type="dxa"/>
            <w:shd w:val="clear" w:color="auto" w:fill="632423"/>
          </w:tcPr>
          <w:p w14:paraId="476BB4A7" w14:textId="77777777" w:rsidR="00D026E8" w:rsidRPr="00484D19" w:rsidRDefault="00D026E8" w:rsidP="00AB5CD8">
            <w:pPr>
              <w:autoSpaceDE w:val="0"/>
              <w:autoSpaceDN w:val="0"/>
              <w:adjustRightInd w:val="0"/>
              <w:spacing w:after="60"/>
              <w:rPr>
                <w:rFonts w:ascii="Arial" w:eastAsiaTheme="minorHAnsi" w:hAnsi="Arial" w:cs="Arial"/>
                <w:b/>
                <w:bCs/>
                <w:color w:val="FFFFFF" w:themeColor="background1"/>
                <w:sz w:val="18"/>
                <w:szCs w:val="18"/>
                <w:lang w:eastAsia="en-US"/>
              </w:rPr>
            </w:pPr>
            <w:r w:rsidRPr="00484D19">
              <w:rPr>
                <w:rFonts w:ascii="Arial" w:eastAsiaTheme="minorHAnsi" w:hAnsi="Arial" w:cs="Arial"/>
                <w:b/>
                <w:bCs/>
                <w:color w:val="FFFFFF" w:themeColor="background1"/>
                <w:sz w:val="18"/>
                <w:szCs w:val="18"/>
                <w:lang w:eastAsia="en-US"/>
              </w:rPr>
              <w:t>Comments (where applicable)</w:t>
            </w:r>
          </w:p>
        </w:tc>
      </w:tr>
      <w:tr w:rsidR="003A2132" w:rsidRPr="00484D19" w14:paraId="0EB50710" w14:textId="77777777" w:rsidTr="00255963">
        <w:trPr>
          <w:trHeight w:val="383"/>
        </w:trPr>
        <w:tc>
          <w:tcPr>
            <w:tcW w:w="566" w:type="dxa"/>
            <w:shd w:val="clear" w:color="auto" w:fill="auto"/>
          </w:tcPr>
          <w:p w14:paraId="505DC9A6" w14:textId="37862F35" w:rsidR="003A2132" w:rsidRPr="00BB2634" w:rsidRDefault="003A2132" w:rsidP="00AB5CD8">
            <w:pPr>
              <w:pStyle w:val="Default"/>
              <w:spacing w:after="60"/>
              <w:rPr>
                <w:rFonts w:ascii="Arial" w:hAnsi="Arial" w:cs="Arial"/>
                <w:color w:val="auto"/>
                <w:sz w:val="18"/>
                <w:szCs w:val="18"/>
              </w:rPr>
            </w:pPr>
            <w:r w:rsidRPr="00BB2634">
              <w:rPr>
                <w:rFonts w:ascii="Arial" w:hAnsi="Arial" w:cs="Arial"/>
                <w:bCs/>
                <w:sz w:val="18"/>
                <w:szCs w:val="18"/>
              </w:rPr>
              <w:t xml:space="preserve">1 </w:t>
            </w:r>
          </w:p>
        </w:tc>
        <w:tc>
          <w:tcPr>
            <w:tcW w:w="6663" w:type="dxa"/>
            <w:gridSpan w:val="2"/>
            <w:shd w:val="clear" w:color="auto" w:fill="auto"/>
          </w:tcPr>
          <w:p w14:paraId="6945DF37" w14:textId="77777777" w:rsidR="003A2132" w:rsidRPr="00484D19" w:rsidRDefault="003A2132"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b/>
                <w:bCs/>
                <w:color w:val="000000"/>
                <w:sz w:val="18"/>
                <w:szCs w:val="18"/>
                <w:lang w:eastAsia="en-US"/>
              </w:rPr>
              <w:t xml:space="preserve">PURPOSE, PERSONS RESPONSIBLE, THIRD PARTY INFORMATION, EXPERTS’ REPORTS AND COMPETENT AUTHORITY APPROVAL </w:t>
            </w:r>
          </w:p>
          <w:p w14:paraId="3A82679C" w14:textId="1C1C089D" w:rsidR="003A2132" w:rsidRPr="00484D19" w:rsidRDefault="003A2132" w:rsidP="00255963">
            <w:pPr>
              <w:autoSpaceDE w:val="0"/>
              <w:autoSpaceDN w:val="0"/>
              <w:adjustRightInd w:val="0"/>
              <w:spacing w:after="120"/>
              <w:rPr>
                <w:rFonts w:ascii="Arial" w:eastAsiaTheme="minorHAnsi" w:hAnsi="Arial" w:cs="Arial"/>
                <w:bCs/>
                <w:sz w:val="18"/>
                <w:szCs w:val="18"/>
                <w:lang w:eastAsia="en-US"/>
              </w:rPr>
            </w:pPr>
            <w:r w:rsidRPr="00484D19">
              <w:rPr>
                <w:rFonts w:ascii="Arial" w:eastAsiaTheme="minorHAnsi" w:hAnsi="Arial" w:cs="Arial"/>
                <w:i/>
                <w:iCs/>
                <w:color w:val="000000"/>
                <w:sz w:val="18"/>
                <w:szCs w:val="18"/>
                <w:lang w:eastAsia="en-US"/>
              </w:rPr>
              <w:t xml:space="preserve">This section shall provide information on the persons who are responsible for the content of the </w:t>
            </w:r>
            <w:r w:rsidR="00C46B0B">
              <w:rPr>
                <w:rFonts w:ascii="Arial" w:eastAsiaTheme="minorHAnsi" w:hAnsi="Arial" w:cs="Arial"/>
                <w:i/>
                <w:iCs/>
                <w:color w:val="000000"/>
                <w:sz w:val="18"/>
                <w:szCs w:val="18"/>
                <w:lang w:eastAsia="en-US"/>
              </w:rPr>
              <w:t>UK</w:t>
            </w:r>
            <w:r w:rsidR="00C46B0B" w:rsidRPr="00484D19">
              <w:rPr>
                <w:rFonts w:ascii="Arial" w:eastAsiaTheme="minorHAnsi" w:hAnsi="Arial" w:cs="Arial"/>
                <w:i/>
                <w:iCs/>
                <w:color w:val="000000"/>
                <w:sz w:val="18"/>
                <w:szCs w:val="18"/>
                <w:lang w:eastAsia="en-US"/>
              </w:rPr>
              <w:t xml:space="preserve"> </w:t>
            </w:r>
            <w:r w:rsidRPr="00484D19">
              <w:rPr>
                <w:rFonts w:ascii="Arial" w:eastAsiaTheme="minorHAnsi" w:hAnsi="Arial" w:cs="Arial"/>
                <w:i/>
                <w:iCs/>
                <w:color w:val="000000"/>
                <w:sz w:val="18"/>
                <w:szCs w:val="18"/>
                <w:lang w:eastAsia="en-US"/>
              </w:rPr>
              <w:t xml:space="preserve">Growth securities note. The purpose of this section is to provide comfort to investors on the accuracy of the information disclosed in the prospectus. In addition, this section provides information on the interests of persons involved in the offer, as well as the reasons of the offer, the use of proceeds and the expenses of the offer. Moreover, the section provides information on the legal basis of the </w:t>
            </w:r>
            <w:r w:rsidR="00C46B0B">
              <w:rPr>
                <w:rFonts w:ascii="Arial" w:eastAsiaTheme="minorHAnsi" w:hAnsi="Arial" w:cs="Arial"/>
                <w:i/>
                <w:iCs/>
                <w:color w:val="000000"/>
                <w:sz w:val="18"/>
                <w:szCs w:val="18"/>
                <w:lang w:eastAsia="en-US"/>
              </w:rPr>
              <w:t>UK</w:t>
            </w:r>
            <w:r w:rsidR="00C46B0B" w:rsidRPr="00484D19">
              <w:rPr>
                <w:rFonts w:ascii="Arial" w:eastAsiaTheme="minorHAnsi" w:hAnsi="Arial" w:cs="Arial"/>
                <w:i/>
                <w:iCs/>
                <w:color w:val="000000"/>
                <w:sz w:val="18"/>
                <w:szCs w:val="18"/>
                <w:lang w:eastAsia="en-US"/>
              </w:rPr>
              <w:t xml:space="preserve"> </w:t>
            </w:r>
            <w:r w:rsidRPr="00484D19">
              <w:rPr>
                <w:rFonts w:ascii="Arial" w:eastAsiaTheme="minorHAnsi" w:hAnsi="Arial" w:cs="Arial"/>
                <w:i/>
                <w:iCs/>
                <w:color w:val="000000"/>
                <w:sz w:val="18"/>
                <w:szCs w:val="18"/>
                <w:lang w:eastAsia="en-US"/>
              </w:rPr>
              <w:t xml:space="preserve">Growth securities note and its approval by the competent authority. </w:t>
            </w:r>
          </w:p>
        </w:tc>
        <w:tc>
          <w:tcPr>
            <w:tcW w:w="709" w:type="dxa"/>
            <w:shd w:val="clear" w:color="auto" w:fill="auto"/>
          </w:tcPr>
          <w:p w14:paraId="62675DB6" w14:textId="0A56AEF3"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282F8D8"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65913542"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08713049" w14:textId="77777777" w:rsidTr="00255963">
        <w:trPr>
          <w:trHeight w:val="383"/>
        </w:trPr>
        <w:tc>
          <w:tcPr>
            <w:tcW w:w="566" w:type="dxa"/>
            <w:shd w:val="clear" w:color="auto" w:fill="auto"/>
          </w:tcPr>
          <w:p w14:paraId="29754BAF" w14:textId="34898F1B" w:rsidR="00FD50D0" w:rsidRPr="00BB2634" w:rsidRDefault="00FD50D0" w:rsidP="00AB5CD8">
            <w:pPr>
              <w:pStyle w:val="Default"/>
              <w:spacing w:after="60"/>
              <w:rPr>
                <w:rFonts w:ascii="Arial" w:hAnsi="Arial" w:cs="Arial"/>
                <w:color w:val="auto"/>
                <w:sz w:val="18"/>
                <w:szCs w:val="18"/>
              </w:rPr>
            </w:pPr>
            <w:r w:rsidRPr="00BB2634">
              <w:rPr>
                <w:rFonts w:ascii="Arial" w:hAnsi="Arial" w:cs="Arial"/>
                <w:bCs/>
                <w:sz w:val="18"/>
                <w:szCs w:val="18"/>
              </w:rPr>
              <w:t xml:space="preserve">1.1 </w:t>
            </w:r>
          </w:p>
        </w:tc>
        <w:tc>
          <w:tcPr>
            <w:tcW w:w="5388" w:type="dxa"/>
            <w:shd w:val="clear" w:color="auto" w:fill="auto"/>
          </w:tcPr>
          <w:p w14:paraId="13E543CE" w14:textId="62D068DB" w:rsidR="00FD50D0" w:rsidRPr="00484D19" w:rsidRDefault="00FD50D0" w:rsidP="00255963">
            <w:pPr>
              <w:autoSpaceDE w:val="0"/>
              <w:autoSpaceDN w:val="0"/>
              <w:adjustRightInd w:val="0"/>
              <w:spacing w:after="120"/>
              <w:rPr>
                <w:rFonts w:ascii="Arial" w:eastAsiaTheme="minorHAnsi" w:hAnsi="Arial" w:cs="Arial"/>
                <w:bCs/>
                <w:sz w:val="18"/>
                <w:szCs w:val="18"/>
                <w:lang w:eastAsia="en-US"/>
              </w:rPr>
            </w:pPr>
            <w:r w:rsidRPr="00484D19">
              <w:rPr>
                <w:rFonts w:ascii="Arial" w:eastAsiaTheme="minorHAnsi" w:hAnsi="Arial" w:cs="Arial"/>
                <w:color w:val="000000"/>
                <w:sz w:val="18"/>
                <w:szCs w:val="18"/>
                <w:lang w:eastAsia="en-US"/>
              </w:rPr>
              <w:t xml:space="preserve">Identify all persons responsible for the information or any parts of it, given in the securities note with, in the latter case, an indication of such parts. In the case of natural persons, including members of the issuer’s administrative, management or supervisory bodies, indicate the name and function of the person; in the case of legal persons indicate the name and registered office. </w:t>
            </w:r>
          </w:p>
        </w:tc>
        <w:tc>
          <w:tcPr>
            <w:tcW w:w="1275" w:type="dxa"/>
          </w:tcPr>
          <w:p w14:paraId="66E0696F" w14:textId="7053745E" w:rsidR="00FD50D0" w:rsidRPr="00484D19" w:rsidRDefault="00FD50D0" w:rsidP="00255963">
            <w:pPr>
              <w:autoSpaceDE w:val="0"/>
              <w:autoSpaceDN w:val="0"/>
              <w:adjustRightInd w:val="0"/>
              <w:spacing w:after="120"/>
              <w:rPr>
                <w:rFonts w:ascii="Arial" w:eastAsiaTheme="minorHAnsi" w:hAnsi="Arial" w:cs="Arial"/>
                <w:bCs/>
                <w:sz w:val="18"/>
                <w:szCs w:val="18"/>
                <w:lang w:eastAsia="en-US"/>
              </w:rPr>
            </w:pPr>
            <w:r w:rsidRPr="00484D19">
              <w:rPr>
                <w:rFonts w:ascii="Arial" w:eastAsiaTheme="minorHAnsi" w:hAnsi="Arial" w:cs="Arial"/>
                <w:color w:val="000000"/>
                <w:sz w:val="18"/>
                <w:szCs w:val="18"/>
                <w:lang w:eastAsia="en-US"/>
              </w:rPr>
              <w:t xml:space="preserve">Category A </w:t>
            </w:r>
          </w:p>
        </w:tc>
        <w:tc>
          <w:tcPr>
            <w:tcW w:w="709" w:type="dxa"/>
            <w:shd w:val="clear" w:color="auto" w:fill="auto"/>
          </w:tcPr>
          <w:p w14:paraId="5D66F766" w14:textId="37CDA284"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22DDB6C"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44479022"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504370B9" w14:textId="77777777" w:rsidTr="00255963">
        <w:trPr>
          <w:trHeight w:val="383"/>
        </w:trPr>
        <w:tc>
          <w:tcPr>
            <w:tcW w:w="566" w:type="dxa"/>
            <w:shd w:val="clear" w:color="auto" w:fill="auto"/>
          </w:tcPr>
          <w:p w14:paraId="391042D9" w14:textId="1C43D91A" w:rsidR="00FD50D0" w:rsidRPr="00BB2634" w:rsidRDefault="00FD50D0" w:rsidP="00AB5CD8">
            <w:pPr>
              <w:pStyle w:val="Default"/>
              <w:spacing w:after="60"/>
              <w:rPr>
                <w:rFonts w:ascii="Arial" w:hAnsi="Arial" w:cs="Arial"/>
                <w:color w:val="auto"/>
                <w:sz w:val="18"/>
                <w:szCs w:val="18"/>
              </w:rPr>
            </w:pPr>
            <w:r w:rsidRPr="00BB2634">
              <w:rPr>
                <w:rFonts w:ascii="Arial" w:hAnsi="Arial" w:cs="Arial"/>
                <w:bCs/>
                <w:sz w:val="18"/>
                <w:szCs w:val="18"/>
              </w:rPr>
              <w:t xml:space="preserve">1.2 </w:t>
            </w:r>
          </w:p>
        </w:tc>
        <w:tc>
          <w:tcPr>
            <w:tcW w:w="5388" w:type="dxa"/>
            <w:shd w:val="clear" w:color="auto" w:fill="auto"/>
          </w:tcPr>
          <w:p w14:paraId="549157E4" w14:textId="77777777"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A declaration by those responsible for the securities note that to the best of their knowledge, the information contained in the securities note is in accordance with the facts and that the securities note makes no omission likely to affect its import. </w:t>
            </w:r>
          </w:p>
          <w:p w14:paraId="3FE14E08" w14:textId="66E59939" w:rsidR="00FD50D0" w:rsidRPr="00484D19" w:rsidRDefault="00FD50D0" w:rsidP="00255963">
            <w:pPr>
              <w:autoSpaceDE w:val="0"/>
              <w:autoSpaceDN w:val="0"/>
              <w:adjustRightInd w:val="0"/>
              <w:spacing w:after="120"/>
              <w:rPr>
                <w:rFonts w:ascii="Arial" w:eastAsiaTheme="minorHAnsi" w:hAnsi="Arial" w:cs="Arial"/>
                <w:bCs/>
                <w:sz w:val="18"/>
                <w:szCs w:val="18"/>
                <w:lang w:eastAsia="en-US"/>
              </w:rPr>
            </w:pPr>
            <w:r w:rsidRPr="00484D19">
              <w:rPr>
                <w:rFonts w:ascii="Arial" w:eastAsiaTheme="minorHAnsi" w:hAnsi="Arial" w:cs="Arial"/>
                <w:color w:val="000000"/>
                <w:sz w:val="18"/>
                <w:szCs w:val="18"/>
                <w:lang w:eastAsia="en-US"/>
              </w:rPr>
              <w:t xml:space="preserve">Where applicable, a declaration by those responsible for certain parts of the securities note that, to the best of their knowledge, the information contained in those parts of the securities note for which they are responsible is in accordance with the facts and that those parts of the securities note make no omission likely to affect their import. </w:t>
            </w:r>
          </w:p>
        </w:tc>
        <w:tc>
          <w:tcPr>
            <w:tcW w:w="1275" w:type="dxa"/>
          </w:tcPr>
          <w:p w14:paraId="218C470D" w14:textId="1133FFEB" w:rsidR="00FD50D0" w:rsidRPr="00484D19" w:rsidRDefault="00FD50D0" w:rsidP="00255963">
            <w:pPr>
              <w:autoSpaceDE w:val="0"/>
              <w:autoSpaceDN w:val="0"/>
              <w:adjustRightInd w:val="0"/>
              <w:spacing w:after="120"/>
              <w:rPr>
                <w:rFonts w:ascii="Arial" w:eastAsiaTheme="minorHAnsi" w:hAnsi="Arial" w:cs="Arial"/>
                <w:bCs/>
                <w:sz w:val="18"/>
                <w:szCs w:val="18"/>
                <w:lang w:eastAsia="en-US"/>
              </w:rPr>
            </w:pPr>
            <w:r w:rsidRPr="00484D19">
              <w:rPr>
                <w:rFonts w:ascii="Arial" w:eastAsiaTheme="minorHAnsi" w:hAnsi="Arial" w:cs="Arial"/>
                <w:color w:val="000000"/>
                <w:sz w:val="18"/>
                <w:szCs w:val="18"/>
                <w:lang w:eastAsia="en-US"/>
              </w:rPr>
              <w:t xml:space="preserve">Category A </w:t>
            </w:r>
          </w:p>
        </w:tc>
        <w:tc>
          <w:tcPr>
            <w:tcW w:w="709" w:type="dxa"/>
            <w:shd w:val="clear" w:color="auto" w:fill="auto"/>
          </w:tcPr>
          <w:p w14:paraId="417B6285" w14:textId="4A39AC1A"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57F6B73"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7449DA2A"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1E6CF8DC" w14:textId="77777777" w:rsidTr="00255963">
        <w:trPr>
          <w:trHeight w:val="383"/>
        </w:trPr>
        <w:tc>
          <w:tcPr>
            <w:tcW w:w="566" w:type="dxa"/>
            <w:shd w:val="clear" w:color="auto" w:fill="auto"/>
          </w:tcPr>
          <w:p w14:paraId="40059972" w14:textId="71EC6933" w:rsidR="00FD50D0" w:rsidRPr="00BB2634" w:rsidRDefault="00FD50D0" w:rsidP="00AB5CD8">
            <w:pPr>
              <w:pStyle w:val="Default"/>
              <w:spacing w:after="60"/>
              <w:rPr>
                <w:rFonts w:ascii="Arial" w:hAnsi="Arial" w:cs="Arial"/>
                <w:color w:val="auto"/>
                <w:sz w:val="18"/>
                <w:szCs w:val="18"/>
              </w:rPr>
            </w:pPr>
            <w:r w:rsidRPr="00BB2634">
              <w:rPr>
                <w:rFonts w:ascii="Arial" w:hAnsi="Arial" w:cs="Arial"/>
                <w:bCs/>
                <w:sz w:val="18"/>
                <w:szCs w:val="18"/>
              </w:rPr>
              <w:t xml:space="preserve">1.3 </w:t>
            </w:r>
          </w:p>
        </w:tc>
        <w:tc>
          <w:tcPr>
            <w:tcW w:w="5388" w:type="dxa"/>
            <w:shd w:val="clear" w:color="auto" w:fill="auto"/>
          </w:tcPr>
          <w:p w14:paraId="46D22A1B" w14:textId="77777777"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Where a statement or report attributed to a person as an expert is included in the securities note, provide the following in relation to that person: </w:t>
            </w:r>
          </w:p>
          <w:p w14:paraId="07A6166B" w14:textId="295B4E9A" w:rsidR="00FD50D0" w:rsidRPr="003A2132" w:rsidRDefault="00FD50D0" w:rsidP="00255963">
            <w:pPr>
              <w:pStyle w:val="ListParagraph"/>
              <w:numPr>
                <w:ilvl w:val="0"/>
                <w:numId w:val="19"/>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name; </w:t>
            </w:r>
          </w:p>
          <w:p w14:paraId="09B6BABA" w14:textId="14C811E1" w:rsidR="00FD50D0" w:rsidRPr="003A2132" w:rsidRDefault="00FD50D0" w:rsidP="00255963">
            <w:pPr>
              <w:pStyle w:val="ListParagraph"/>
              <w:numPr>
                <w:ilvl w:val="0"/>
                <w:numId w:val="19"/>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business address; </w:t>
            </w:r>
          </w:p>
          <w:p w14:paraId="4226195C" w14:textId="6EB18935" w:rsidR="00FD50D0" w:rsidRPr="003A2132" w:rsidRDefault="00FD50D0" w:rsidP="00255963">
            <w:pPr>
              <w:pStyle w:val="ListParagraph"/>
              <w:numPr>
                <w:ilvl w:val="0"/>
                <w:numId w:val="19"/>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qualifications; </w:t>
            </w:r>
          </w:p>
          <w:p w14:paraId="1C2CF85B" w14:textId="2DF73EEC" w:rsidR="00FD50D0" w:rsidRPr="003A2132" w:rsidRDefault="00FD50D0" w:rsidP="00255963">
            <w:pPr>
              <w:pStyle w:val="ListParagraph"/>
              <w:numPr>
                <w:ilvl w:val="0"/>
                <w:numId w:val="19"/>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material interest if any in the issuer. </w:t>
            </w:r>
          </w:p>
          <w:p w14:paraId="04407535" w14:textId="77777777"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If the statement or report has been produced at the issuer’s request, state that such statement or report has been included in the securities note with the consent of the person who has authorised the contents of that part of the </w:t>
            </w:r>
          </w:p>
          <w:p w14:paraId="31DC8993" w14:textId="0556DE60" w:rsidR="00FD50D0" w:rsidRPr="00484D19" w:rsidRDefault="00FD50D0" w:rsidP="00255963">
            <w:pPr>
              <w:pStyle w:val="Default"/>
              <w:spacing w:after="120"/>
              <w:rPr>
                <w:rFonts w:ascii="Arial" w:hAnsi="Arial" w:cs="Arial"/>
                <w:bCs/>
                <w:sz w:val="18"/>
                <w:szCs w:val="18"/>
              </w:rPr>
            </w:pPr>
            <w:r w:rsidRPr="00484D19">
              <w:rPr>
                <w:rFonts w:ascii="Arial" w:hAnsi="Arial" w:cs="Arial"/>
                <w:sz w:val="18"/>
                <w:szCs w:val="18"/>
              </w:rPr>
              <w:t xml:space="preserve">securities note for the purpose of the prospectus. </w:t>
            </w:r>
          </w:p>
        </w:tc>
        <w:tc>
          <w:tcPr>
            <w:tcW w:w="1275" w:type="dxa"/>
          </w:tcPr>
          <w:p w14:paraId="7E59EF05" w14:textId="39B84BB6" w:rsidR="00FD50D0" w:rsidRPr="00484D19" w:rsidRDefault="00FD50D0" w:rsidP="00255963">
            <w:pPr>
              <w:autoSpaceDE w:val="0"/>
              <w:autoSpaceDN w:val="0"/>
              <w:adjustRightInd w:val="0"/>
              <w:spacing w:after="120"/>
              <w:rPr>
                <w:rFonts w:ascii="Arial" w:eastAsiaTheme="minorHAnsi" w:hAnsi="Arial" w:cs="Arial"/>
                <w:bCs/>
                <w:sz w:val="18"/>
                <w:szCs w:val="18"/>
                <w:lang w:eastAsia="en-US"/>
              </w:rPr>
            </w:pPr>
            <w:r w:rsidRPr="00484D19">
              <w:rPr>
                <w:rFonts w:ascii="Arial" w:eastAsiaTheme="minorHAnsi" w:hAnsi="Arial" w:cs="Arial"/>
                <w:color w:val="000000"/>
                <w:sz w:val="18"/>
                <w:szCs w:val="18"/>
                <w:lang w:eastAsia="en-US"/>
              </w:rPr>
              <w:t xml:space="preserve">Category A </w:t>
            </w:r>
          </w:p>
        </w:tc>
        <w:tc>
          <w:tcPr>
            <w:tcW w:w="709" w:type="dxa"/>
            <w:shd w:val="clear" w:color="auto" w:fill="auto"/>
          </w:tcPr>
          <w:p w14:paraId="7496A590" w14:textId="1D8E7CE4"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25A8B5C"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76A1209C"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056894A8" w14:textId="77777777" w:rsidTr="00255963">
        <w:trPr>
          <w:trHeight w:val="383"/>
        </w:trPr>
        <w:tc>
          <w:tcPr>
            <w:tcW w:w="566" w:type="dxa"/>
            <w:shd w:val="clear" w:color="auto" w:fill="auto"/>
          </w:tcPr>
          <w:p w14:paraId="701E9B7B" w14:textId="158CB08F" w:rsidR="00FD50D0" w:rsidRPr="00BB2634" w:rsidRDefault="00FD50D0" w:rsidP="00AB5CD8">
            <w:pPr>
              <w:pStyle w:val="Default"/>
              <w:spacing w:after="60"/>
              <w:rPr>
                <w:rFonts w:ascii="Arial" w:hAnsi="Arial" w:cs="Arial"/>
                <w:color w:val="auto"/>
                <w:sz w:val="18"/>
                <w:szCs w:val="18"/>
              </w:rPr>
            </w:pPr>
            <w:r w:rsidRPr="00BB2634">
              <w:rPr>
                <w:rFonts w:ascii="Arial" w:hAnsi="Arial" w:cs="Arial"/>
                <w:bCs/>
                <w:sz w:val="18"/>
                <w:szCs w:val="18"/>
              </w:rPr>
              <w:t xml:space="preserve">1.4 </w:t>
            </w:r>
          </w:p>
        </w:tc>
        <w:tc>
          <w:tcPr>
            <w:tcW w:w="5388" w:type="dxa"/>
            <w:shd w:val="clear" w:color="auto" w:fill="auto"/>
          </w:tcPr>
          <w:p w14:paraId="613FAFDF" w14:textId="40F28B63" w:rsidR="00FD50D0" w:rsidRPr="00484D19" w:rsidRDefault="00FD50D0" w:rsidP="00255963">
            <w:pPr>
              <w:autoSpaceDE w:val="0"/>
              <w:autoSpaceDN w:val="0"/>
              <w:adjustRightInd w:val="0"/>
              <w:spacing w:after="120"/>
              <w:rPr>
                <w:rFonts w:ascii="Arial" w:eastAsiaTheme="minorHAnsi" w:hAnsi="Arial" w:cs="Arial"/>
                <w:bCs/>
                <w:sz w:val="18"/>
                <w:szCs w:val="18"/>
                <w:lang w:eastAsia="en-US"/>
              </w:rPr>
            </w:pPr>
            <w:r w:rsidRPr="00484D19">
              <w:rPr>
                <w:rFonts w:ascii="Arial" w:eastAsiaTheme="minorHAnsi" w:hAnsi="Arial" w:cs="Arial"/>
                <w:color w:val="000000"/>
                <w:sz w:val="18"/>
                <w:szCs w:val="18"/>
                <w:lang w:eastAsia="en-US"/>
              </w:rPr>
              <w:t xml:space="preserve">Where information has been sourced from a third party, provide a confirmation that this information has been accurately reproduced and that as far as the issuer is aware and is able to ascertain </w:t>
            </w:r>
            <w:r w:rsidRPr="00484D19">
              <w:rPr>
                <w:rFonts w:ascii="Arial" w:eastAsiaTheme="minorHAnsi" w:hAnsi="Arial" w:cs="Arial"/>
                <w:color w:val="000000"/>
                <w:sz w:val="18"/>
                <w:szCs w:val="18"/>
                <w:lang w:eastAsia="en-US"/>
              </w:rPr>
              <w:lastRenderedPageBreak/>
              <w:t xml:space="preserve">from information published by that third party, no facts have been omitted which would render the reproduced information inaccurate or misleading. In addition, identify the source(s) of the information. </w:t>
            </w:r>
          </w:p>
        </w:tc>
        <w:tc>
          <w:tcPr>
            <w:tcW w:w="1275" w:type="dxa"/>
          </w:tcPr>
          <w:p w14:paraId="634AF752" w14:textId="33DA2883" w:rsidR="00FD50D0" w:rsidRPr="00484D19" w:rsidRDefault="00FD50D0" w:rsidP="00255963">
            <w:pPr>
              <w:autoSpaceDE w:val="0"/>
              <w:autoSpaceDN w:val="0"/>
              <w:adjustRightInd w:val="0"/>
              <w:spacing w:after="120"/>
              <w:rPr>
                <w:rFonts w:ascii="Arial" w:eastAsiaTheme="minorHAnsi" w:hAnsi="Arial" w:cs="Arial"/>
                <w:bCs/>
                <w:sz w:val="18"/>
                <w:szCs w:val="18"/>
                <w:lang w:eastAsia="en-US"/>
              </w:rPr>
            </w:pPr>
            <w:r w:rsidRPr="00484D19">
              <w:rPr>
                <w:rFonts w:ascii="Arial" w:eastAsiaTheme="minorHAnsi" w:hAnsi="Arial" w:cs="Arial"/>
                <w:color w:val="000000"/>
                <w:sz w:val="18"/>
                <w:szCs w:val="18"/>
                <w:lang w:eastAsia="en-US"/>
              </w:rPr>
              <w:lastRenderedPageBreak/>
              <w:t xml:space="preserve">Category C </w:t>
            </w:r>
          </w:p>
        </w:tc>
        <w:tc>
          <w:tcPr>
            <w:tcW w:w="709" w:type="dxa"/>
            <w:shd w:val="clear" w:color="auto" w:fill="auto"/>
          </w:tcPr>
          <w:p w14:paraId="4DFEE18D"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61FB31E"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49275805"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2FBF64D4" w14:textId="77777777" w:rsidTr="00255963">
        <w:trPr>
          <w:trHeight w:val="383"/>
        </w:trPr>
        <w:tc>
          <w:tcPr>
            <w:tcW w:w="566" w:type="dxa"/>
            <w:shd w:val="clear" w:color="auto" w:fill="auto"/>
          </w:tcPr>
          <w:p w14:paraId="6E8CAF3D" w14:textId="515E0822" w:rsidR="00FD50D0" w:rsidRPr="00BB2634" w:rsidRDefault="00FD50D0" w:rsidP="00AB5CD8">
            <w:pPr>
              <w:pStyle w:val="Default"/>
              <w:spacing w:after="60"/>
              <w:rPr>
                <w:rFonts w:ascii="Arial" w:hAnsi="Arial" w:cs="Arial"/>
                <w:color w:val="auto"/>
                <w:sz w:val="18"/>
                <w:szCs w:val="18"/>
              </w:rPr>
            </w:pPr>
            <w:r w:rsidRPr="00BB2634">
              <w:rPr>
                <w:rFonts w:ascii="Arial" w:hAnsi="Arial" w:cs="Arial"/>
                <w:bCs/>
                <w:sz w:val="18"/>
                <w:szCs w:val="18"/>
              </w:rPr>
              <w:t xml:space="preserve">1.5 </w:t>
            </w:r>
          </w:p>
        </w:tc>
        <w:tc>
          <w:tcPr>
            <w:tcW w:w="5388" w:type="dxa"/>
            <w:shd w:val="clear" w:color="auto" w:fill="auto"/>
          </w:tcPr>
          <w:p w14:paraId="112586A9" w14:textId="77777777"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A statement that: </w:t>
            </w:r>
          </w:p>
          <w:p w14:paraId="67ABCEA5" w14:textId="1D4727D6" w:rsidR="00FD50D0" w:rsidRPr="003A2132" w:rsidRDefault="00FD50D0" w:rsidP="00255963">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this [securities note / prospectus] has been approved by the [insert name of the competent authority], as competent authority under Regulation (EU) 2017/1129; </w:t>
            </w:r>
          </w:p>
          <w:p w14:paraId="45237432" w14:textId="2FCE2133" w:rsidR="00FD50D0" w:rsidRPr="003A2132" w:rsidRDefault="00FD50D0" w:rsidP="00255963">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/the [name of the competent authority] only approves this [securities note / prospectus] as meeting the standards of completeness, comprehensibility and consistency imposed by Regulation 2017/EU/1129; </w:t>
            </w:r>
          </w:p>
          <w:p w14:paraId="7C2D7D59" w14:textId="0E2B6D13" w:rsidR="00FD50D0" w:rsidRPr="003A2132" w:rsidRDefault="00FD50D0" w:rsidP="00255963">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such approval should not be considered as an endorsement of the quality of the securities that are the subject of this [securities note / prospectus]; </w:t>
            </w:r>
          </w:p>
          <w:p w14:paraId="782EC1B4" w14:textId="2AA7E660" w:rsidR="00FD50D0" w:rsidRPr="003A2132" w:rsidRDefault="00FD50D0" w:rsidP="00255963">
            <w:pPr>
              <w:pStyle w:val="ListParagraph"/>
              <w:numPr>
                <w:ilvl w:val="0"/>
                <w:numId w:val="22"/>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investors should make their own assessment as to the suitability of investing in the securities; and </w:t>
            </w:r>
          </w:p>
          <w:p w14:paraId="262BB198" w14:textId="7A833F3E" w:rsidR="00FD50D0" w:rsidRPr="00484D19" w:rsidRDefault="00FD50D0" w:rsidP="00255963">
            <w:pPr>
              <w:pStyle w:val="ListParagraph"/>
              <w:numPr>
                <w:ilvl w:val="0"/>
                <w:numId w:val="22"/>
              </w:numPr>
              <w:autoSpaceDE w:val="0"/>
              <w:autoSpaceDN w:val="0"/>
              <w:adjustRightInd w:val="0"/>
              <w:spacing w:after="120"/>
              <w:rPr>
                <w:rFonts w:ascii="Arial" w:eastAsiaTheme="minorHAnsi" w:hAnsi="Arial" w:cs="Arial"/>
                <w:bCs/>
                <w:sz w:val="18"/>
                <w:szCs w:val="18"/>
                <w:lang w:eastAsia="en-US"/>
              </w:rPr>
            </w:pPr>
            <w:r w:rsidRPr="003A2132">
              <w:rPr>
                <w:rFonts w:ascii="Arial" w:eastAsiaTheme="minorHAnsi" w:hAnsi="Arial" w:cs="Arial"/>
                <w:color w:val="000000"/>
                <w:sz w:val="18"/>
                <w:szCs w:val="18"/>
                <w:lang w:eastAsia="en-US"/>
              </w:rPr>
              <w:t xml:space="preserve">that the [securities note / prospectus] has been drawn up as </w:t>
            </w:r>
            <w:r w:rsidR="00C46B0B">
              <w:rPr>
                <w:rFonts w:ascii="Arial" w:eastAsiaTheme="minorHAnsi" w:hAnsi="Arial" w:cs="Arial"/>
                <w:color w:val="000000"/>
                <w:sz w:val="18"/>
                <w:szCs w:val="18"/>
                <w:lang w:eastAsia="en-US"/>
              </w:rPr>
              <w:t>a UK</w:t>
            </w:r>
            <w:r w:rsidRPr="003A2132">
              <w:rPr>
                <w:rFonts w:ascii="Arial" w:eastAsiaTheme="minorHAnsi" w:hAnsi="Arial" w:cs="Arial"/>
                <w:color w:val="000000"/>
                <w:sz w:val="18"/>
                <w:szCs w:val="18"/>
                <w:lang w:eastAsia="en-US"/>
              </w:rPr>
              <w:t xml:space="preserve"> Growth prospectus in accordance with Article 15 of Regulation (EU) 2017/1129. </w:t>
            </w:r>
          </w:p>
        </w:tc>
        <w:tc>
          <w:tcPr>
            <w:tcW w:w="1275" w:type="dxa"/>
          </w:tcPr>
          <w:p w14:paraId="7548E690" w14:textId="48221358" w:rsidR="00FD50D0" w:rsidRPr="00484D19" w:rsidRDefault="00FD50D0" w:rsidP="00255963">
            <w:pPr>
              <w:autoSpaceDE w:val="0"/>
              <w:autoSpaceDN w:val="0"/>
              <w:adjustRightInd w:val="0"/>
              <w:spacing w:after="120"/>
              <w:rPr>
                <w:rFonts w:ascii="Arial" w:eastAsiaTheme="minorHAnsi" w:hAnsi="Arial" w:cs="Arial"/>
                <w:bCs/>
                <w:sz w:val="18"/>
                <w:szCs w:val="18"/>
                <w:lang w:eastAsia="en-US"/>
              </w:rPr>
            </w:pPr>
            <w:r w:rsidRPr="00484D19">
              <w:rPr>
                <w:rFonts w:ascii="Arial" w:eastAsiaTheme="minorHAnsi" w:hAnsi="Arial" w:cs="Arial"/>
                <w:color w:val="000000"/>
                <w:sz w:val="18"/>
                <w:szCs w:val="18"/>
                <w:lang w:eastAsia="en-US"/>
              </w:rPr>
              <w:t xml:space="preserve">Category A </w:t>
            </w:r>
          </w:p>
        </w:tc>
        <w:tc>
          <w:tcPr>
            <w:tcW w:w="709" w:type="dxa"/>
            <w:shd w:val="clear" w:color="auto" w:fill="auto"/>
          </w:tcPr>
          <w:p w14:paraId="08C2140F"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8882CBD"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B29055C"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03EF05CA" w14:textId="77777777" w:rsidTr="00255963">
        <w:trPr>
          <w:trHeight w:val="383"/>
        </w:trPr>
        <w:tc>
          <w:tcPr>
            <w:tcW w:w="566" w:type="dxa"/>
            <w:shd w:val="clear" w:color="auto" w:fill="auto"/>
          </w:tcPr>
          <w:p w14:paraId="0FC2899B" w14:textId="1F6AE44F"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t xml:space="preserve">1.6 </w:t>
            </w:r>
          </w:p>
        </w:tc>
        <w:tc>
          <w:tcPr>
            <w:tcW w:w="5388" w:type="dxa"/>
            <w:shd w:val="clear" w:color="auto" w:fill="auto"/>
          </w:tcPr>
          <w:p w14:paraId="3EBC6647" w14:textId="77777777"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Interest of natural and legal persons involved in the issue/offer </w:t>
            </w:r>
          </w:p>
          <w:p w14:paraId="3525AD8A" w14:textId="5CAC8F9A"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A description of any interest, including a conflict of interest that is material to the issue/offer, detailing the persons involved and the nature of the interest. </w:t>
            </w:r>
          </w:p>
        </w:tc>
        <w:tc>
          <w:tcPr>
            <w:tcW w:w="1275" w:type="dxa"/>
          </w:tcPr>
          <w:p w14:paraId="017F63C0" w14:textId="630DF0AB"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Category C </w:t>
            </w:r>
          </w:p>
        </w:tc>
        <w:tc>
          <w:tcPr>
            <w:tcW w:w="709" w:type="dxa"/>
            <w:shd w:val="clear" w:color="auto" w:fill="auto"/>
          </w:tcPr>
          <w:p w14:paraId="0F225D59"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463D356"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74AF4B77"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68303AA0" w14:textId="77777777" w:rsidTr="00255963">
        <w:trPr>
          <w:trHeight w:val="383"/>
        </w:trPr>
        <w:tc>
          <w:tcPr>
            <w:tcW w:w="566" w:type="dxa"/>
            <w:shd w:val="clear" w:color="auto" w:fill="auto"/>
          </w:tcPr>
          <w:p w14:paraId="2768BE2D" w14:textId="62C56A03"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t xml:space="preserve">1.7 </w:t>
            </w:r>
          </w:p>
        </w:tc>
        <w:tc>
          <w:tcPr>
            <w:tcW w:w="5388" w:type="dxa"/>
            <w:shd w:val="clear" w:color="auto" w:fill="auto"/>
          </w:tcPr>
          <w:p w14:paraId="4FF52083" w14:textId="77777777"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Reasons for the offer, use of proceeds and expenses of the issue/offer </w:t>
            </w:r>
          </w:p>
          <w:p w14:paraId="78549E42" w14:textId="09ED1284"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Reasons for the offer to the public or for the admission to trading. Where applicable, disclosure of the estimated total expenses of the issue/offer and the estimated net amount of the proceeds. These expenses and proceeds shall be broken into each principal intended use and presented in order of priority of such uses. If the issuer is aware that the anticipated proceeds will not be sufficient to fund all the proposed uses, then state the amount and sources of other funds needed</w:t>
            </w:r>
          </w:p>
        </w:tc>
        <w:tc>
          <w:tcPr>
            <w:tcW w:w="1275" w:type="dxa"/>
          </w:tcPr>
          <w:p w14:paraId="614848FA" w14:textId="66EC0C05"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Category C </w:t>
            </w:r>
          </w:p>
        </w:tc>
        <w:tc>
          <w:tcPr>
            <w:tcW w:w="709" w:type="dxa"/>
            <w:shd w:val="clear" w:color="auto" w:fill="auto"/>
          </w:tcPr>
          <w:p w14:paraId="2D249A87"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049029C"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BF60525"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3EB9E42E" w14:textId="77777777" w:rsidTr="00255963">
        <w:trPr>
          <w:trHeight w:val="383"/>
        </w:trPr>
        <w:tc>
          <w:tcPr>
            <w:tcW w:w="566" w:type="dxa"/>
            <w:shd w:val="clear" w:color="auto" w:fill="auto"/>
          </w:tcPr>
          <w:p w14:paraId="1F8F343E" w14:textId="4A80E196"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t xml:space="preserve">1.8 </w:t>
            </w:r>
          </w:p>
        </w:tc>
        <w:tc>
          <w:tcPr>
            <w:tcW w:w="5388" w:type="dxa"/>
            <w:shd w:val="clear" w:color="auto" w:fill="auto"/>
          </w:tcPr>
          <w:p w14:paraId="53D3E465" w14:textId="66570693"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Additional information </w:t>
            </w:r>
          </w:p>
        </w:tc>
        <w:tc>
          <w:tcPr>
            <w:tcW w:w="1275" w:type="dxa"/>
          </w:tcPr>
          <w:p w14:paraId="02EDE78A" w14:textId="77777777"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p>
        </w:tc>
        <w:tc>
          <w:tcPr>
            <w:tcW w:w="709" w:type="dxa"/>
            <w:shd w:val="clear" w:color="auto" w:fill="auto"/>
          </w:tcPr>
          <w:p w14:paraId="7BD83B5F"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16AAC18"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6458D395"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60787C51" w14:textId="77777777" w:rsidTr="00255963">
        <w:trPr>
          <w:trHeight w:val="383"/>
        </w:trPr>
        <w:tc>
          <w:tcPr>
            <w:tcW w:w="566" w:type="dxa"/>
            <w:shd w:val="clear" w:color="auto" w:fill="auto"/>
          </w:tcPr>
          <w:p w14:paraId="0D2C168F" w14:textId="4D5B11EE"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t xml:space="preserve">1.8.1 </w:t>
            </w:r>
          </w:p>
        </w:tc>
        <w:tc>
          <w:tcPr>
            <w:tcW w:w="5388" w:type="dxa"/>
            <w:shd w:val="clear" w:color="auto" w:fill="auto"/>
          </w:tcPr>
          <w:p w14:paraId="6F6A117C" w14:textId="41492203"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If advisors connected with an issue are referred to in the securities note, a statement of the capacity in which the advisors have acted. </w:t>
            </w:r>
          </w:p>
        </w:tc>
        <w:tc>
          <w:tcPr>
            <w:tcW w:w="1275" w:type="dxa"/>
          </w:tcPr>
          <w:p w14:paraId="532DC253" w14:textId="2DAAAB80"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Category C </w:t>
            </w:r>
          </w:p>
        </w:tc>
        <w:tc>
          <w:tcPr>
            <w:tcW w:w="709" w:type="dxa"/>
            <w:shd w:val="clear" w:color="auto" w:fill="auto"/>
          </w:tcPr>
          <w:p w14:paraId="1D84C2CC"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931BB05"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53E0570D"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21ED8CB6" w14:textId="77777777" w:rsidTr="00255963">
        <w:trPr>
          <w:trHeight w:val="383"/>
        </w:trPr>
        <w:tc>
          <w:tcPr>
            <w:tcW w:w="566" w:type="dxa"/>
            <w:shd w:val="clear" w:color="auto" w:fill="auto"/>
          </w:tcPr>
          <w:p w14:paraId="436DB33F" w14:textId="39CBBA84"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t xml:space="preserve">1.8.2 </w:t>
            </w:r>
          </w:p>
        </w:tc>
        <w:tc>
          <w:tcPr>
            <w:tcW w:w="5388" w:type="dxa"/>
            <w:shd w:val="clear" w:color="auto" w:fill="auto"/>
          </w:tcPr>
          <w:p w14:paraId="628263A2" w14:textId="26688F13"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An indication of other information in the securities note which has been audited or reviewed by statutory auditors and where auditors have produced a report. Reproduction of the report or, with permission of the competent authority, a summary of the report. </w:t>
            </w:r>
          </w:p>
        </w:tc>
        <w:tc>
          <w:tcPr>
            <w:tcW w:w="1275" w:type="dxa"/>
          </w:tcPr>
          <w:p w14:paraId="3F351F55" w14:textId="14458A9F"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Category A </w:t>
            </w:r>
          </w:p>
        </w:tc>
        <w:tc>
          <w:tcPr>
            <w:tcW w:w="709" w:type="dxa"/>
            <w:shd w:val="clear" w:color="auto" w:fill="auto"/>
          </w:tcPr>
          <w:p w14:paraId="73FFE5C7"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B1F04B2"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003EED1"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2BC4F3D9" w14:textId="77777777" w:rsidTr="00255963">
        <w:trPr>
          <w:trHeight w:val="383"/>
        </w:trPr>
        <w:tc>
          <w:tcPr>
            <w:tcW w:w="566" w:type="dxa"/>
            <w:shd w:val="clear" w:color="auto" w:fill="auto"/>
          </w:tcPr>
          <w:p w14:paraId="6BA9D6DB" w14:textId="57BF38BC"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t xml:space="preserve">1.8.3 </w:t>
            </w:r>
          </w:p>
        </w:tc>
        <w:tc>
          <w:tcPr>
            <w:tcW w:w="5388" w:type="dxa"/>
            <w:shd w:val="clear" w:color="auto" w:fill="auto"/>
          </w:tcPr>
          <w:p w14:paraId="6DA48CC3" w14:textId="1B1138A3"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Credit ratings assigned to the securities at the request or with the co-operation of the issuer in the rating process. A brief explanation of the meaning of the ratings if this has previously been published by the rating provider. </w:t>
            </w:r>
          </w:p>
        </w:tc>
        <w:tc>
          <w:tcPr>
            <w:tcW w:w="1275" w:type="dxa"/>
          </w:tcPr>
          <w:p w14:paraId="5CB902C2" w14:textId="7EB67EE8"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Category C </w:t>
            </w:r>
          </w:p>
        </w:tc>
        <w:tc>
          <w:tcPr>
            <w:tcW w:w="709" w:type="dxa"/>
            <w:shd w:val="clear" w:color="auto" w:fill="auto"/>
          </w:tcPr>
          <w:p w14:paraId="40ABB84C"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6CA2410"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63D6353B"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5E0E8902" w14:textId="77777777" w:rsidTr="00255963">
        <w:trPr>
          <w:trHeight w:val="383"/>
        </w:trPr>
        <w:tc>
          <w:tcPr>
            <w:tcW w:w="566" w:type="dxa"/>
            <w:shd w:val="clear" w:color="auto" w:fill="auto"/>
          </w:tcPr>
          <w:p w14:paraId="3354DD7D" w14:textId="5DF07BE2"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t xml:space="preserve">1.8.4 </w:t>
            </w:r>
          </w:p>
        </w:tc>
        <w:tc>
          <w:tcPr>
            <w:tcW w:w="5388" w:type="dxa"/>
            <w:shd w:val="clear" w:color="auto" w:fill="auto"/>
          </w:tcPr>
          <w:p w14:paraId="59C1DA5A" w14:textId="4C1751D9"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Where the summary is substituted in part with the information set out in points (c) to (i) of paragraph 3 of Article 8 of Regulation (EU) No 1286/2014, all such information to the extent it is not already disclosed elsewhere in the securities note </w:t>
            </w:r>
          </w:p>
        </w:tc>
        <w:tc>
          <w:tcPr>
            <w:tcW w:w="1275" w:type="dxa"/>
          </w:tcPr>
          <w:p w14:paraId="7CE295A5" w14:textId="35ABBFC2"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Category C </w:t>
            </w:r>
          </w:p>
        </w:tc>
        <w:tc>
          <w:tcPr>
            <w:tcW w:w="709" w:type="dxa"/>
            <w:shd w:val="clear" w:color="auto" w:fill="auto"/>
          </w:tcPr>
          <w:p w14:paraId="1B93CAD0"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FD84862"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775DA1A1"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3A2132" w:rsidRPr="00484D19" w14:paraId="2507918A" w14:textId="77777777" w:rsidTr="00255963">
        <w:trPr>
          <w:trHeight w:val="383"/>
        </w:trPr>
        <w:tc>
          <w:tcPr>
            <w:tcW w:w="566" w:type="dxa"/>
            <w:shd w:val="clear" w:color="auto" w:fill="auto"/>
          </w:tcPr>
          <w:p w14:paraId="5496B291" w14:textId="31CDE703" w:rsidR="003A2132" w:rsidRPr="00BB2634" w:rsidRDefault="003A2132" w:rsidP="00AB5CD8">
            <w:pPr>
              <w:pStyle w:val="Default"/>
              <w:spacing w:after="60"/>
              <w:rPr>
                <w:rFonts w:ascii="Arial" w:hAnsi="Arial" w:cs="Arial"/>
                <w:bCs/>
                <w:sz w:val="18"/>
                <w:szCs w:val="18"/>
              </w:rPr>
            </w:pPr>
            <w:r w:rsidRPr="00BB2634">
              <w:rPr>
                <w:rFonts w:ascii="Arial" w:hAnsi="Arial" w:cs="Arial"/>
                <w:bCs/>
                <w:sz w:val="18"/>
                <w:szCs w:val="18"/>
              </w:rPr>
              <w:t xml:space="preserve">2 </w:t>
            </w:r>
          </w:p>
        </w:tc>
        <w:tc>
          <w:tcPr>
            <w:tcW w:w="6663" w:type="dxa"/>
            <w:gridSpan w:val="2"/>
            <w:shd w:val="clear" w:color="auto" w:fill="auto"/>
          </w:tcPr>
          <w:p w14:paraId="191B24C3" w14:textId="77777777" w:rsidR="003A2132" w:rsidRPr="00484D19" w:rsidRDefault="003A2132"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b/>
                <w:bCs/>
                <w:color w:val="000000"/>
                <w:sz w:val="18"/>
                <w:szCs w:val="18"/>
                <w:lang w:eastAsia="en-US"/>
              </w:rPr>
              <w:t xml:space="preserve">RISK FACTORS </w:t>
            </w:r>
          </w:p>
          <w:p w14:paraId="116D01C1" w14:textId="415DF946" w:rsidR="003A2132" w:rsidRPr="00484D19" w:rsidRDefault="003A2132"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i/>
                <w:iCs/>
                <w:color w:val="000000"/>
                <w:sz w:val="18"/>
                <w:szCs w:val="18"/>
                <w:lang w:eastAsia="en-US"/>
              </w:rPr>
              <w:t xml:space="preserve">The purpose of this section is to describe the main risks which are specific to the securities of the issuer. </w:t>
            </w:r>
          </w:p>
        </w:tc>
        <w:tc>
          <w:tcPr>
            <w:tcW w:w="709" w:type="dxa"/>
            <w:shd w:val="clear" w:color="auto" w:fill="auto"/>
          </w:tcPr>
          <w:p w14:paraId="1DE8FC37"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E209F2D"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148748FB"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537C33AF" w14:textId="77777777" w:rsidTr="00255963">
        <w:trPr>
          <w:trHeight w:val="383"/>
        </w:trPr>
        <w:tc>
          <w:tcPr>
            <w:tcW w:w="566" w:type="dxa"/>
            <w:shd w:val="clear" w:color="auto" w:fill="auto"/>
          </w:tcPr>
          <w:p w14:paraId="40D7D15A" w14:textId="6DCD630B"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lastRenderedPageBreak/>
              <w:t xml:space="preserve">2.1 </w:t>
            </w:r>
          </w:p>
        </w:tc>
        <w:tc>
          <w:tcPr>
            <w:tcW w:w="5388" w:type="dxa"/>
            <w:shd w:val="clear" w:color="auto" w:fill="auto"/>
          </w:tcPr>
          <w:p w14:paraId="38492CFB" w14:textId="77777777"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A description of the material risks that are specific to the securities being offered in a limited number of categories, in a section headed ‘Risk Factors’. </w:t>
            </w:r>
          </w:p>
          <w:p w14:paraId="6A4F5EA4" w14:textId="77777777"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Risks to be disclosed shall include: </w:t>
            </w:r>
          </w:p>
          <w:p w14:paraId="39C09FDE" w14:textId="236E48AF" w:rsidR="003A2132" w:rsidRDefault="00FD50D0" w:rsidP="00255963">
            <w:pPr>
              <w:pStyle w:val="ListParagraph"/>
              <w:numPr>
                <w:ilvl w:val="0"/>
                <w:numId w:val="24"/>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those resulting from the level of subordination of a security and the impact on the expected size or timing of payments to holders of the securities under bankruptcy, or any other similar procedure, including, where relevant, the insolvency of a credit institution or its resolution or restructuring in accordance with </w:t>
            </w:r>
            <w:r w:rsidR="00C46B0B">
              <w:rPr>
                <w:rFonts w:ascii="Arial" w:hAnsi="Arial" w:cs="Arial"/>
                <w:sz w:val="18"/>
                <w:szCs w:val="18"/>
              </w:rPr>
              <w:t xml:space="preserve">the UK law which implemented </w:t>
            </w:r>
            <w:r w:rsidRPr="003A2132">
              <w:rPr>
                <w:rFonts w:ascii="Arial" w:eastAsiaTheme="minorHAnsi" w:hAnsi="Arial" w:cs="Arial"/>
                <w:color w:val="000000"/>
                <w:sz w:val="18"/>
                <w:szCs w:val="18"/>
                <w:lang w:eastAsia="en-US"/>
              </w:rPr>
              <w:t xml:space="preserve">Directive 2014/59/EU; </w:t>
            </w:r>
          </w:p>
          <w:p w14:paraId="1073F392" w14:textId="38DA725A" w:rsidR="00FD50D0" w:rsidRPr="003A2132" w:rsidRDefault="00FD50D0" w:rsidP="00255963">
            <w:pPr>
              <w:pStyle w:val="ListParagraph"/>
              <w:numPr>
                <w:ilvl w:val="0"/>
                <w:numId w:val="24"/>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in cases where the securities are guaranteed, the specific and material risks related to the guarantor to the extent they are relevant to its ability to fulfil its commitment under the guarantee. </w:t>
            </w:r>
          </w:p>
          <w:p w14:paraId="328746C2" w14:textId="4B53E33B"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In each category the most material risks, in the assessment of the issuer or offeror </w:t>
            </w:r>
            <w:proofErr w:type="gramStart"/>
            <w:r w:rsidRPr="00484D19">
              <w:rPr>
                <w:rFonts w:ascii="Arial" w:eastAsiaTheme="minorHAnsi" w:hAnsi="Arial" w:cs="Arial"/>
                <w:color w:val="000000"/>
                <w:sz w:val="18"/>
                <w:szCs w:val="18"/>
                <w:lang w:eastAsia="en-US"/>
              </w:rPr>
              <w:t>taking into account</w:t>
            </w:r>
            <w:proofErr w:type="gramEnd"/>
            <w:r w:rsidRPr="00484D19">
              <w:rPr>
                <w:rFonts w:ascii="Arial" w:eastAsiaTheme="minorHAnsi" w:hAnsi="Arial" w:cs="Arial"/>
                <w:color w:val="000000"/>
                <w:sz w:val="18"/>
                <w:szCs w:val="18"/>
                <w:lang w:eastAsia="en-US"/>
              </w:rPr>
              <w:t xml:space="preserve"> their impact on the issuer and the securities and the probability of their occurrence, shall be set out first. The risks shall be corroborated by the content of the securities note. </w:t>
            </w:r>
          </w:p>
        </w:tc>
        <w:tc>
          <w:tcPr>
            <w:tcW w:w="1275" w:type="dxa"/>
          </w:tcPr>
          <w:p w14:paraId="0AB24AE2" w14:textId="6C413B4D"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Category A </w:t>
            </w:r>
          </w:p>
        </w:tc>
        <w:tc>
          <w:tcPr>
            <w:tcW w:w="709" w:type="dxa"/>
            <w:shd w:val="clear" w:color="auto" w:fill="auto"/>
          </w:tcPr>
          <w:p w14:paraId="74EF81BC"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3510DFF"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7792BD7C"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3A2132" w:rsidRPr="00484D19" w14:paraId="233A8572" w14:textId="77777777" w:rsidTr="00255963">
        <w:trPr>
          <w:trHeight w:val="383"/>
        </w:trPr>
        <w:tc>
          <w:tcPr>
            <w:tcW w:w="566" w:type="dxa"/>
            <w:shd w:val="clear" w:color="auto" w:fill="auto"/>
          </w:tcPr>
          <w:p w14:paraId="4100B600" w14:textId="7127B730" w:rsidR="003A2132" w:rsidRPr="00BB2634" w:rsidRDefault="003A2132" w:rsidP="00AB5CD8">
            <w:pPr>
              <w:pStyle w:val="Default"/>
              <w:spacing w:after="60"/>
              <w:rPr>
                <w:rFonts w:ascii="Arial" w:hAnsi="Arial" w:cs="Arial"/>
                <w:bCs/>
                <w:sz w:val="18"/>
                <w:szCs w:val="18"/>
              </w:rPr>
            </w:pPr>
            <w:r w:rsidRPr="00BB2634">
              <w:rPr>
                <w:rFonts w:ascii="Arial" w:hAnsi="Arial" w:cs="Arial"/>
                <w:bCs/>
                <w:sz w:val="18"/>
                <w:szCs w:val="18"/>
              </w:rPr>
              <w:t xml:space="preserve">3 </w:t>
            </w:r>
          </w:p>
        </w:tc>
        <w:tc>
          <w:tcPr>
            <w:tcW w:w="6663" w:type="dxa"/>
            <w:gridSpan w:val="2"/>
            <w:shd w:val="clear" w:color="auto" w:fill="auto"/>
          </w:tcPr>
          <w:p w14:paraId="2EFB1BCC" w14:textId="707CF3C5" w:rsidR="003A2132" w:rsidRPr="00484D19" w:rsidRDefault="003A2132"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hAnsi="Arial" w:cs="Arial"/>
                <w:b/>
                <w:bCs/>
                <w:sz w:val="18"/>
                <w:szCs w:val="18"/>
              </w:rPr>
              <w:t xml:space="preserve">TERMS AND CONDITIONS OF THE SECURITIES </w:t>
            </w:r>
          </w:p>
        </w:tc>
        <w:tc>
          <w:tcPr>
            <w:tcW w:w="709" w:type="dxa"/>
            <w:shd w:val="clear" w:color="auto" w:fill="auto"/>
          </w:tcPr>
          <w:p w14:paraId="72663F24"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79146B5"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7B5266B1"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3A54C26B" w14:textId="77777777" w:rsidTr="00255963">
        <w:trPr>
          <w:trHeight w:val="383"/>
        </w:trPr>
        <w:tc>
          <w:tcPr>
            <w:tcW w:w="566" w:type="dxa"/>
            <w:shd w:val="clear" w:color="auto" w:fill="auto"/>
          </w:tcPr>
          <w:p w14:paraId="696B5032" w14:textId="7B5D83F2"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t xml:space="preserve">3.1 </w:t>
            </w:r>
          </w:p>
        </w:tc>
        <w:tc>
          <w:tcPr>
            <w:tcW w:w="5388" w:type="dxa"/>
            <w:shd w:val="clear" w:color="auto" w:fill="auto"/>
          </w:tcPr>
          <w:p w14:paraId="54F06ED2" w14:textId="09B7C00B" w:rsidR="00FD50D0" w:rsidRPr="00484D19" w:rsidRDefault="00FD50D0" w:rsidP="00255963">
            <w:pPr>
              <w:autoSpaceDE w:val="0"/>
              <w:autoSpaceDN w:val="0"/>
              <w:adjustRightInd w:val="0"/>
              <w:spacing w:after="120"/>
              <w:rPr>
                <w:rFonts w:ascii="Arial" w:hAnsi="Arial" w:cs="Arial"/>
                <w:b/>
                <w:bCs/>
                <w:sz w:val="18"/>
                <w:szCs w:val="18"/>
              </w:rPr>
            </w:pPr>
            <w:r w:rsidRPr="00484D19">
              <w:rPr>
                <w:rFonts w:ascii="Arial" w:hAnsi="Arial" w:cs="Arial"/>
                <w:sz w:val="18"/>
                <w:szCs w:val="18"/>
              </w:rPr>
              <w:t xml:space="preserve">Information concerning the securities to be offered </w:t>
            </w:r>
          </w:p>
        </w:tc>
        <w:tc>
          <w:tcPr>
            <w:tcW w:w="1275" w:type="dxa"/>
          </w:tcPr>
          <w:p w14:paraId="26D85445" w14:textId="77777777"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p>
        </w:tc>
        <w:tc>
          <w:tcPr>
            <w:tcW w:w="709" w:type="dxa"/>
            <w:shd w:val="clear" w:color="auto" w:fill="auto"/>
          </w:tcPr>
          <w:p w14:paraId="542596B5"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1138E12"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263E2D18"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03646556" w14:textId="77777777" w:rsidTr="00255963">
        <w:trPr>
          <w:trHeight w:val="383"/>
        </w:trPr>
        <w:tc>
          <w:tcPr>
            <w:tcW w:w="566" w:type="dxa"/>
            <w:shd w:val="clear" w:color="auto" w:fill="auto"/>
          </w:tcPr>
          <w:p w14:paraId="371012A8" w14:textId="4D9BCAEE"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t xml:space="preserve">3.1.1 </w:t>
            </w:r>
          </w:p>
        </w:tc>
        <w:tc>
          <w:tcPr>
            <w:tcW w:w="5388" w:type="dxa"/>
            <w:shd w:val="clear" w:color="auto" w:fill="auto"/>
          </w:tcPr>
          <w:p w14:paraId="7BCD812F" w14:textId="77777777" w:rsidR="00FD50D0" w:rsidRPr="00484D19" w:rsidRDefault="00FD50D0"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A description of the type and the class of the securities being offered. </w:t>
            </w:r>
          </w:p>
          <w:p w14:paraId="7EA8804F" w14:textId="1C56C44E" w:rsidR="00FD50D0" w:rsidRPr="00484D19" w:rsidRDefault="00FD50D0" w:rsidP="00255963">
            <w:pPr>
              <w:autoSpaceDE w:val="0"/>
              <w:autoSpaceDN w:val="0"/>
              <w:adjustRightInd w:val="0"/>
              <w:spacing w:after="120"/>
              <w:rPr>
                <w:rFonts w:ascii="Arial" w:hAnsi="Arial" w:cs="Arial"/>
                <w:sz w:val="18"/>
                <w:szCs w:val="18"/>
              </w:rPr>
            </w:pPr>
            <w:r w:rsidRPr="00484D19">
              <w:rPr>
                <w:rFonts w:ascii="Arial" w:hAnsi="Arial" w:cs="Arial"/>
                <w:sz w:val="18"/>
                <w:szCs w:val="18"/>
              </w:rPr>
              <w:t>The international security identification number (‘ISIN’) of the securities being offered.</w:t>
            </w:r>
          </w:p>
        </w:tc>
        <w:tc>
          <w:tcPr>
            <w:tcW w:w="1275" w:type="dxa"/>
          </w:tcPr>
          <w:p w14:paraId="46E4D6D8" w14:textId="4454CCC9" w:rsidR="00FD50D0" w:rsidRDefault="00FD50D0"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A </w:t>
            </w:r>
          </w:p>
          <w:p w14:paraId="04410FEB" w14:textId="77777777" w:rsidR="003A2132" w:rsidRPr="00484D19" w:rsidRDefault="003A2132" w:rsidP="00255963">
            <w:pPr>
              <w:autoSpaceDE w:val="0"/>
              <w:autoSpaceDN w:val="0"/>
              <w:adjustRightInd w:val="0"/>
              <w:spacing w:after="120"/>
              <w:rPr>
                <w:rFonts w:ascii="Arial" w:hAnsi="Arial" w:cs="Arial"/>
                <w:sz w:val="18"/>
                <w:szCs w:val="18"/>
              </w:rPr>
            </w:pPr>
          </w:p>
          <w:p w14:paraId="214F4944" w14:textId="76051C5F" w:rsidR="00FD50D0" w:rsidRPr="00484D19" w:rsidRDefault="00FD50D0"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hAnsi="Arial" w:cs="Arial"/>
                <w:sz w:val="18"/>
                <w:szCs w:val="18"/>
              </w:rPr>
              <w:t>Category C</w:t>
            </w:r>
          </w:p>
        </w:tc>
        <w:tc>
          <w:tcPr>
            <w:tcW w:w="709" w:type="dxa"/>
            <w:shd w:val="clear" w:color="auto" w:fill="auto"/>
          </w:tcPr>
          <w:p w14:paraId="79BA8533"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394EB05"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308CB1A"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17F30CC5" w14:textId="77777777" w:rsidTr="00255963">
        <w:trPr>
          <w:trHeight w:val="383"/>
        </w:trPr>
        <w:tc>
          <w:tcPr>
            <w:tcW w:w="566" w:type="dxa"/>
            <w:shd w:val="clear" w:color="auto" w:fill="auto"/>
          </w:tcPr>
          <w:p w14:paraId="44E5E565" w14:textId="6CC4FB94"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t xml:space="preserve">3.1.2 </w:t>
            </w:r>
          </w:p>
        </w:tc>
        <w:tc>
          <w:tcPr>
            <w:tcW w:w="5388" w:type="dxa"/>
            <w:shd w:val="clear" w:color="auto" w:fill="auto"/>
          </w:tcPr>
          <w:p w14:paraId="429E3E77" w14:textId="558084BC" w:rsidR="00FD50D0" w:rsidRPr="00484D19" w:rsidRDefault="00FD50D0"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Legislation under which the securities have been created. </w:t>
            </w:r>
          </w:p>
        </w:tc>
        <w:tc>
          <w:tcPr>
            <w:tcW w:w="1275" w:type="dxa"/>
          </w:tcPr>
          <w:p w14:paraId="4BCF2EDA" w14:textId="3E710BD2" w:rsidR="00FD50D0" w:rsidRPr="00484D19" w:rsidRDefault="00FD50D0"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A </w:t>
            </w:r>
          </w:p>
        </w:tc>
        <w:tc>
          <w:tcPr>
            <w:tcW w:w="709" w:type="dxa"/>
            <w:shd w:val="clear" w:color="auto" w:fill="auto"/>
          </w:tcPr>
          <w:p w14:paraId="66452FF1"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74D2D16"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6C7541F"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FD50D0" w:rsidRPr="00484D19" w14:paraId="55B33FA5" w14:textId="77777777" w:rsidTr="00255963">
        <w:trPr>
          <w:trHeight w:val="383"/>
        </w:trPr>
        <w:tc>
          <w:tcPr>
            <w:tcW w:w="566" w:type="dxa"/>
            <w:shd w:val="clear" w:color="auto" w:fill="auto"/>
          </w:tcPr>
          <w:p w14:paraId="2328E72D" w14:textId="5BF444EA" w:rsidR="00FD50D0" w:rsidRPr="00BB2634" w:rsidRDefault="00FD50D0" w:rsidP="00AB5CD8">
            <w:pPr>
              <w:pStyle w:val="Default"/>
              <w:spacing w:after="60"/>
              <w:rPr>
                <w:rFonts w:ascii="Arial" w:hAnsi="Arial" w:cs="Arial"/>
                <w:bCs/>
                <w:sz w:val="18"/>
                <w:szCs w:val="18"/>
              </w:rPr>
            </w:pPr>
            <w:r w:rsidRPr="00BB2634">
              <w:rPr>
                <w:rFonts w:ascii="Arial" w:hAnsi="Arial" w:cs="Arial"/>
                <w:bCs/>
                <w:sz w:val="18"/>
                <w:szCs w:val="18"/>
              </w:rPr>
              <w:t xml:space="preserve">3.1.3 </w:t>
            </w:r>
          </w:p>
        </w:tc>
        <w:tc>
          <w:tcPr>
            <w:tcW w:w="5388" w:type="dxa"/>
            <w:shd w:val="clear" w:color="auto" w:fill="auto"/>
          </w:tcPr>
          <w:p w14:paraId="0A4E4F77" w14:textId="1124638A" w:rsidR="00FD50D0" w:rsidRPr="00484D19" w:rsidRDefault="00FD50D0"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An indication whether the securities are in registered form or bearer form and whether the securities are in certificated form or book-entry form. </w:t>
            </w:r>
          </w:p>
          <w:p w14:paraId="73395F38" w14:textId="03F81AD4" w:rsidR="00FD50D0" w:rsidRPr="00484D19" w:rsidRDefault="00FD50D0" w:rsidP="00255963">
            <w:pPr>
              <w:autoSpaceDE w:val="0"/>
              <w:autoSpaceDN w:val="0"/>
              <w:adjustRightInd w:val="0"/>
              <w:spacing w:after="120"/>
              <w:rPr>
                <w:rFonts w:ascii="Arial" w:hAnsi="Arial" w:cs="Arial"/>
                <w:sz w:val="18"/>
                <w:szCs w:val="18"/>
              </w:rPr>
            </w:pPr>
            <w:r w:rsidRPr="00484D19">
              <w:rPr>
                <w:rFonts w:ascii="Arial" w:hAnsi="Arial" w:cs="Arial"/>
                <w:sz w:val="18"/>
                <w:szCs w:val="18"/>
              </w:rPr>
              <w:t>In the case of book-entry form, the name and address of the entity in charge of keeping the records.</w:t>
            </w:r>
          </w:p>
        </w:tc>
        <w:tc>
          <w:tcPr>
            <w:tcW w:w="1275" w:type="dxa"/>
          </w:tcPr>
          <w:p w14:paraId="2CAED8ED" w14:textId="77777777" w:rsidR="00FD50D0" w:rsidRPr="00484D19" w:rsidRDefault="00FD50D0"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A </w:t>
            </w:r>
          </w:p>
          <w:p w14:paraId="5002441E" w14:textId="77777777" w:rsidR="00FD50D0" w:rsidRPr="00484D19" w:rsidRDefault="00FD50D0" w:rsidP="00255963">
            <w:pPr>
              <w:autoSpaceDE w:val="0"/>
              <w:autoSpaceDN w:val="0"/>
              <w:adjustRightInd w:val="0"/>
              <w:spacing w:after="120"/>
              <w:rPr>
                <w:rFonts w:ascii="Arial" w:hAnsi="Arial" w:cs="Arial"/>
                <w:sz w:val="18"/>
                <w:szCs w:val="18"/>
              </w:rPr>
            </w:pPr>
          </w:p>
          <w:p w14:paraId="5E9B2CF0" w14:textId="77777777" w:rsidR="00FD50D0" w:rsidRPr="00484D19" w:rsidRDefault="00FD50D0" w:rsidP="00255963">
            <w:pPr>
              <w:autoSpaceDE w:val="0"/>
              <w:autoSpaceDN w:val="0"/>
              <w:adjustRightInd w:val="0"/>
              <w:spacing w:after="120"/>
              <w:rPr>
                <w:rFonts w:ascii="Arial" w:hAnsi="Arial" w:cs="Arial"/>
                <w:sz w:val="18"/>
                <w:szCs w:val="18"/>
              </w:rPr>
            </w:pPr>
          </w:p>
          <w:p w14:paraId="7B06D82F" w14:textId="71A13578" w:rsidR="00FD50D0" w:rsidRPr="00484D19" w:rsidRDefault="00FD50D0" w:rsidP="00255963">
            <w:pPr>
              <w:autoSpaceDE w:val="0"/>
              <w:autoSpaceDN w:val="0"/>
              <w:adjustRightInd w:val="0"/>
              <w:spacing w:after="120"/>
              <w:rPr>
                <w:rFonts w:ascii="Arial" w:hAnsi="Arial" w:cs="Arial"/>
                <w:sz w:val="18"/>
                <w:szCs w:val="18"/>
              </w:rPr>
            </w:pPr>
            <w:r w:rsidRPr="00484D19">
              <w:rPr>
                <w:rFonts w:ascii="Arial" w:hAnsi="Arial" w:cs="Arial"/>
                <w:sz w:val="18"/>
                <w:szCs w:val="18"/>
              </w:rPr>
              <w:t>Category C</w:t>
            </w:r>
          </w:p>
        </w:tc>
        <w:tc>
          <w:tcPr>
            <w:tcW w:w="709" w:type="dxa"/>
            <w:shd w:val="clear" w:color="auto" w:fill="auto"/>
          </w:tcPr>
          <w:p w14:paraId="50A07231"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649AA07"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430C9B6B" w14:textId="77777777" w:rsidR="00FD50D0" w:rsidRPr="00484D19" w:rsidRDefault="00FD50D0" w:rsidP="00AB5CD8">
            <w:pPr>
              <w:autoSpaceDE w:val="0"/>
              <w:autoSpaceDN w:val="0"/>
              <w:adjustRightInd w:val="0"/>
              <w:spacing w:after="60"/>
              <w:rPr>
                <w:rFonts w:ascii="Arial" w:eastAsiaTheme="minorHAnsi" w:hAnsi="Arial" w:cs="Arial"/>
                <w:bCs/>
                <w:sz w:val="18"/>
                <w:szCs w:val="18"/>
                <w:lang w:eastAsia="en-US"/>
              </w:rPr>
            </w:pPr>
          </w:p>
        </w:tc>
      </w:tr>
      <w:tr w:rsidR="00631404" w:rsidRPr="00484D19" w14:paraId="2ED7D500" w14:textId="77777777" w:rsidTr="00255963">
        <w:trPr>
          <w:trHeight w:val="383"/>
        </w:trPr>
        <w:tc>
          <w:tcPr>
            <w:tcW w:w="566" w:type="dxa"/>
            <w:shd w:val="clear" w:color="auto" w:fill="auto"/>
          </w:tcPr>
          <w:p w14:paraId="117220AD" w14:textId="4504B16E" w:rsidR="00631404" w:rsidRPr="00BB2634" w:rsidRDefault="00631404" w:rsidP="00AB5CD8">
            <w:pPr>
              <w:pStyle w:val="Default"/>
              <w:spacing w:after="60"/>
              <w:rPr>
                <w:rFonts w:ascii="Arial" w:hAnsi="Arial" w:cs="Arial"/>
                <w:bCs/>
                <w:sz w:val="18"/>
                <w:szCs w:val="18"/>
              </w:rPr>
            </w:pPr>
            <w:r w:rsidRPr="00BB2634">
              <w:rPr>
                <w:rFonts w:ascii="Arial" w:hAnsi="Arial" w:cs="Arial"/>
                <w:bCs/>
                <w:sz w:val="18"/>
                <w:szCs w:val="18"/>
              </w:rPr>
              <w:t xml:space="preserve">3.1.4 </w:t>
            </w:r>
          </w:p>
        </w:tc>
        <w:tc>
          <w:tcPr>
            <w:tcW w:w="5388" w:type="dxa"/>
            <w:shd w:val="clear" w:color="auto" w:fill="auto"/>
          </w:tcPr>
          <w:p w14:paraId="625C5839" w14:textId="34E4FAB0"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Currency of the securities issue. </w:t>
            </w:r>
          </w:p>
        </w:tc>
        <w:tc>
          <w:tcPr>
            <w:tcW w:w="1275" w:type="dxa"/>
          </w:tcPr>
          <w:p w14:paraId="0BB17893" w14:textId="4F720B07"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326B482A"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8BC45E7"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49D2962B"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r>
      <w:tr w:rsidR="00631404" w:rsidRPr="00484D19" w14:paraId="609AAEF9" w14:textId="77777777" w:rsidTr="00255963">
        <w:trPr>
          <w:trHeight w:val="383"/>
        </w:trPr>
        <w:tc>
          <w:tcPr>
            <w:tcW w:w="566" w:type="dxa"/>
            <w:shd w:val="clear" w:color="auto" w:fill="auto"/>
          </w:tcPr>
          <w:p w14:paraId="14D126A8" w14:textId="60179C6E" w:rsidR="00631404" w:rsidRPr="00BB2634" w:rsidRDefault="00631404" w:rsidP="00AB5CD8">
            <w:pPr>
              <w:pStyle w:val="Default"/>
              <w:spacing w:after="60"/>
              <w:rPr>
                <w:rFonts w:ascii="Arial" w:hAnsi="Arial" w:cs="Arial"/>
                <w:bCs/>
                <w:sz w:val="18"/>
                <w:szCs w:val="18"/>
              </w:rPr>
            </w:pPr>
            <w:r w:rsidRPr="00BB2634">
              <w:rPr>
                <w:rFonts w:ascii="Arial" w:hAnsi="Arial" w:cs="Arial"/>
                <w:bCs/>
                <w:sz w:val="18"/>
                <w:szCs w:val="18"/>
              </w:rPr>
              <w:t xml:space="preserve">3.1.5 </w:t>
            </w:r>
          </w:p>
        </w:tc>
        <w:tc>
          <w:tcPr>
            <w:tcW w:w="5388" w:type="dxa"/>
            <w:shd w:val="clear" w:color="auto" w:fill="auto"/>
          </w:tcPr>
          <w:p w14:paraId="36C4C3A3" w14:textId="3D5BBA4C"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The relative seniority of the securities in the issuer’s capital structure in the event of insolvency, including, where applicable, information on the level of subordination of the securities and the potential impact on the investment in the event of a resolution under </w:t>
            </w:r>
            <w:r w:rsidR="00C46B0B">
              <w:rPr>
                <w:rFonts w:ascii="Arial" w:hAnsi="Arial" w:cs="Arial"/>
                <w:sz w:val="18"/>
                <w:szCs w:val="18"/>
              </w:rPr>
              <w:t xml:space="preserve">the UK law which implemented </w:t>
            </w:r>
            <w:r w:rsidRPr="00484D19">
              <w:rPr>
                <w:rFonts w:ascii="Arial" w:hAnsi="Arial" w:cs="Arial"/>
                <w:sz w:val="18"/>
                <w:szCs w:val="18"/>
              </w:rPr>
              <w:t xml:space="preserve">Directive 2014/59/EU. </w:t>
            </w:r>
          </w:p>
        </w:tc>
        <w:tc>
          <w:tcPr>
            <w:tcW w:w="1275" w:type="dxa"/>
          </w:tcPr>
          <w:p w14:paraId="35921E6E" w14:textId="64A4CC75"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A </w:t>
            </w:r>
          </w:p>
        </w:tc>
        <w:tc>
          <w:tcPr>
            <w:tcW w:w="709" w:type="dxa"/>
            <w:shd w:val="clear" w:color="auto" w:fill="auto"/>
          </w:tcPr>
          <w:p w14:paraId="41A6301D"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F908D52"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78A52E4"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r>
      <w:tr w:rsidR="00631404" w:rsidRPr="00484D19" w14:paraId="09906D21" w14:textId="77777777" w:rsidTr="00255963">
        <w:trPr>
          <w:trHeight w:val="383"/>
        </w:trPr>
        <w:tc>
          <w:tcPr>
            <w:tcW w:w="566" w:type="dxa"/>
            <w:shd w:val="clear" w:color="auto" w:fill="auto"/>
          </w:tcPr>
          <w:p w14:paraId="4C8A021C" w14:textId="04D90F24" w:rsidR="00631404" w:rsidRPr="00BB2634" w:rsidRDefault="00631404" w:rsidP="00AB5CD8">
            <w:pPr>
              <w:pStyle w:val="Default"/>
              <w:spacing w:after="60"/>
              <w:rPr>
                <w:rFonts w:ascii="Arial" w:hAnsi="Arial" w:cs="Arial"/>
                <w:bCs/>
                <w:sz w:val="18"/>
                <w:szCs w:val="18"/>
              </w:rPr>
            </w:pPr>
            <w:r w:rsidRPr="00BB2634">
              <w:rPr>
                <w:rFonts w:ascii="Arial" w:hAnsi="Arial" w:cs="Arial"/>
                <w:bCs/>
                <w:sz w:val="18"/>
                <w:szCs w:val="18"/>
              </w:rPr>
              <w:t xml:space="preserve">3.1.6 </w:t>
            </w:r>
          </w:p>
        </w:tc>
        <w:tc>
          <w:tcPr>
            <w:tcW w:w="5388" w:type="dxa"/>
            <w:shd w:val="clear" w:color="auto" w:fill="auto"/>
          </w:tcPr>
          <w:p w14:paraId="657FD25F" w14:textId="5EDA632B"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A description of the rights attached to the securities, including any limitations of those rights, and procedure for the exercise of those rights. </w:t>
            </w:r>
          </w:p>
        </w:tc>
        <w:tc>
          <w:tcPr>
            <w:tcW w:w="1275" w:type="dxa"/>
          </w:tcPr>
          <w:p w14:paraId="73B67D6C" w14:textId="7B1B5D22"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B </w:t>
            </w:r>
          </w:p>
        </w:tc>
        <w:tc>
          <w:tcPr>
            <w:tcW w:w="709" w:type="dxa"/>
            <w:shd w:val="clear" w:color="auto" w:fill="auto"/>
          </w:tcPr>
          <w:p w14:paraId="3AF67C30"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D072344"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5E0BBC6"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r>
      <w:tr w:rsidR="00522F2F" w:rsidRPr="00484D19" w14:paraId="34002A4D" w14:textId="77777777" w:rsidTr="00255963">
        <w:trPr>
          <w:trHeight w:val="383"/>
        </w:trPr>
        <w:tc>
          <w:tcPr>
            <w:tcW w:w="566" w:type="dxa"/>
            <w:shd w:val="clear" w:color="auto" w:fill="auto"/>
          </w:tcPr>
          <w:p w14:paraId="4AA1F399" w14:textId="275D439B" w:rsidR="00522F2F" w:rsidRPr="00BB2634" w:rsidRDefault="00522F2F" w:rsidP="00AB5CD8">
            <w:pPr>
              <w:pStyle w:val="Default"/>
              <w:spacing w:after="60"/>
              <w:rPr>
                <w:rFonts w:ascii="Arial" w:hAnsi="Arial" w:cs="Arial"/>
                <w:bCs/>
                <w:sz w:val="18"/>
                <w:szCs w:val="18"/>
              </w:rPr>
            </w:pPr>
            <w:r>
              <w:rPr>
                <w:rFonts w:ascii="Arial" w:hAnsi="Arial" w:cs="Arial"/>
                <w:bCs/>
                <w:sz w:val="18"/>
                <w:szCs w:val="18"/>
              </w:rPr>
              <w:t>3.1.7</w:t>
            </w:r>
          </w:p>
        </w:tc>
        <w:tc>
          <w:tcPr>
            <w:tcW w:w="5388" w:type="dxa"/>
            <w:shd w:val="clear" w:color="auto" w:fill="auto"/>
          </w:tcPr>
          <w:p w14:paraId="043EFDF7" w14:textId="77777777" w:rsidR="00522F2F" w:rsidRDefault="00522F2F" w:rsidP="00255963">
            <w:pPr>
              <w:autoSpaceDE w:val="0"/>
              <w:autoSpaceDN w:val="0"/>
              <w:adjustRightInd w:val="0"/>
              <w:spacing w:after="120"/>
              <w:rPr>
                <w:rFonts w:ascii="Arial" w:hAnsi="Arial" w:cs="Arial"/>
                <w:sz w:val="18"/>
                <w:szCs w:val="18"/>
              </w:rPr>
            </w:pPr>
            <w:r>
              <w:rPr>
                <w:rFonts w:ascii="Arial" w:hAnsi="Arial" w:cs="Arial"/>
                <w:sz w:val="18"/>
                <w:szCs w:val="18"/>
              </w:rPr>
              <w:t>(a) The nominal interest rate.</w:t>
            </w:r>
          </w:p>
          <w:p w14:paraId="30EAE465" w14:textId="77777777" w:rsidR="00522F2F" w:rsidRDefault="00522F2F" w:rsidP="00522F2F">
            <w:pPr>
              <w:autoSpaceDE w:val="0"/>
              <w:autoSpaceDN w:val="0"/>
              <w:adjustRightInd w:val="0"/>
              <w:spacing w:after="120"/>
              <w:rPr>
                <w:rFonts w:ascii="Arial" w:hAnsi="Arial" w:cs="Arial"/>
                <w:sz w:val="18"/>
                <w:szCs w:val="18"/>
              </w:rPr>
            </w:pPr>
            <w:r w:rsidRPr="00522F2F">
              <w:rPr>
                <w:rFonts w:ascii="Arial" w:hAnsi="Arial" w:cs="Arial"/>
                <w:sz w:val="18"/>
                <w:szCs w:val="18"/>
              </w:rPr>
              <w:t>(b) the provisions relating to interest payable;</w:t>
            </w:r>
          </w:p>
          <w:p w14:paraId="76F3BE46" w14:textId="493E2B88" w:rsidR="00522F2F" w:rsidRDefault="00522F2F" w:rsidP="00522F2F">
            <w:pPr>
              <w:autoSpaceDE w:val="0"/>
              <w:autoSpaceDN w:val="0"/>
              <w:adjustRightInd w:val="0"/>
              <w:spacing w:after="120"/>
              <w:rPr>
                <w:rFonts w:ascii="Arial" w:hAnsi="Arial" w:cs="Arial"/>
                <w:sz w:val="18"/>
                <w:szCs w:val="18"/>
              </w:rPr>
            </w:pPr>
            <w:r w:rsidRPr="00522F2F">
              <w:rPr>
                <w:rFonts w:ascii="Arial" w:hAnsi="Arial" w:cs="Arial"/>
                <w:sz w:val="18"/>
                <w:szCs w:val="18"/>
              </w:rPr>
              <w:t>(c) the date from which interest becomes payable;</w:t>
            </w:r>
          </w:p>
          <w:p w14:paraId="7118ECFA" w14:textId="1CF6F7D3" w:rsidR="00522F2F" w:rsidRDefault="00522F2F" w:rsidP="00522F2F">
            <w:pPr>
              <w:autoSpaceDE w:val="0"/>
              <w:autoSpaceDN w:val="0"/>
              <w:adjustRightInd w:val="0"/>
              <w:spacing w:after="120"/>
              <w:rPr>
                <w:rFonts w:ascii="Arial" w:hAnsi="Arial" w:cs="Arial"/>
                <w:sz w:val="18"/>
                <w:szCs w:val="18"/>
              </w:rPr>
            </w:pPr>
            <w:r w:rsidRPr="00522F2F">
              <w:rPr>
                <w:rFonts w:ascii="Arial" w:hAnsi="Arial" w:cs="Arial"/>
                <w:sz w:val="18"/>
                <w:szCs w:val="18"/>
              </w:rPr>
              <w:t>(d) the due dates for interest;</w:t>
            </w:r>
          </w:p>
          <w:p w14:paraId="420B105F" w14:textId="68C2D567" w:rsidR="00522F2F" w:rsidRPr="00484D19" w:rsidRDefault="00522F2F">
            <w:pPr>
              <w:autoSpaceDE w:val="0"/>
              <w:autoSpaceDN w:val="0"/>
              <w:adjustRightInd w:val="0"/>
              <w:spacing w:after="120"/>
              <w:rPr>
                <w:rFonts w:ascii="Arial" w:hAnsi="Arial" w:cs="Arial"/>
                <w:sz w:val="18"/>
                <w:szCs w:val="18"/>
              </w:rPr>
            </w:pPr>
            <w:r w:rsidRPr="00522F2F">
              <w:rPr>
                <w:rFonts w:ascii="Arial" w:hAnsi="Arial" w:cs="Arial"/>
                <w:sz w:val="18"/>
                <w:szCs w:val="18"/>
              </w:rPr>
              <w:t>(e) the time limit on the validity of claims to interest and repayment of principal.</w:t>
            </w:r>
          </w:p>
        </w:tc>
        <w:tc>
          <w:tcPr>
            <w:tcW w:w="1275" w:type="dxa"/>
          </w:tcPr>
          <w:p w14:paraId="52B4419F" w14:textId="77777777" w:rsidR="00522F2F" w:rsidRDefault="00522F2F" w:rsidP="00255963">
            <w:pPr>
              <w:autoSpaceDE w:val="0"/>
              <w:autoSpaceDN w:val="0"/>
              <w:adjustRightInd w:val="0"/>
              <w:spacing w:after="120"/>
              <w:rPr>
                <w:rFonts w:ascii="Arial" w:hAnsi="Arial" w:cs="Arial"/>
                <w:sz w:val="18"/>
                <w:szCs w:val="18"/>
              </w:rPr>
            </w:pPr>
            <w:r w:rsidRPr="00522F2F">
              <w:rPr>
                <w:rFonts w:ascii="Arial" w:hAnsi="Arial" w:cs="Arial"/>
                <w:sz w:val="18"/>
                <w:szCs w:val="18"/>
              </w:rPr>
              <w:t>Category C</w:t>
            </w:r>
          </w:p>
          <w:p w14:paraId="06521D5D" w14:textId="77777777" w:rsidR="00522F2F" w:rsidRDefault="00522F2F" w:rsidP="00255963">
            <w:pPr>
              <w:autoSpaceDE w:val="0"/>
              <w:autoSpaceDN w:val="0"/>
              <w:adjustRightInd w:val="0"/>
              <w:spacing w:after="120"/>
              <w:rPr>
                <w:rFonts w:ascii="Arial" w:hAnsi="Arial" w:cs="Arial"/>
                <w:sz w:val="18"/>
                <w:szCs w:val="18"/>
              </w:rPr>
            </w:pPr>
            <w:r w:rsidRPr="00522F2F">
              <w:rPr>
                <w:rFonts w:ascii="Arial" w:hAnsi="Arial" w:cs="Arial"/>
                <w:sz w:val="18"/>
                <w:szCs w:val="18"/>
              </w:rPr>
              <w:t>Category B</w:t>
            </w:r>
          </w:p>
          <w:p w14:paraId="283AAB71" w14:textId="77777777" w:rsidR="00522F2F" w:rsidRDefault="00522F2F" w:rsidP="00255963">
            <w:pPr>
              <w:autoSpaceDE w:val="0"/>
              <w:autoSpaceDN w:val="0"/>
              <w:adjustRightInd w:val="0"/>
              <w:spacing w:after="120"/>
              <w:rPr>
                <w:rFonts w:ascii="Arial" w:hAnsi="Arial" w:cs="Arial"/>
                <w:sz w:val="18"/>
                <w:szCs w:val="18"/>
              </w:rPr>
            </w:pPr>
            <w:r>
              <w:rPr>
                <w:rFonts w:ascii="Arial" w:hAnsi="Arial" w:cs="Arial"/>
                <w:sz w:val="18"/>
                <w:szCs w:val="18"/>
              </w:rPr>
              <w:t>Category C</w:t>
            </w:r>
          </w:p>
          <w:p w14:paraId="52B58D9A" w14:textId="77777777" w:rsidR="00522F2F" w:rsidRDefault="00522F2F" w:rsidP="00255963">
            <w:pPr>
              <w:autoSpaceDE w:val="0"/>
              <w:autoSpaceDN w:val="0"/>
              <w:adjustRightInd w:val="0"/>
              <w:spacing w:after="120"/>
              <w:rPr>
                <w:rFonts w:ascii="Arial" w:hAnsi="Arial" w:cs="Arial"/>
                <w:sz w:val="18"/>
                <w:szCs w:val="18"/>
              </w:rPr>
            </w:pPr>
            <w:r>
              <w:rPr>
                <w:rFonts w:ascii="Arial" w:hAnsi="Arial" w:cs="Arial"/>
                <w:sz w:val="18"/>
                <w:szCs w:val="18"/>
              </w:rPr>
              <w:t>Category C</w:t>
            </w:r>
          </w:p>
          <w:p w14:paraId="3D7FD38B" w14:textId="41D344E2" w:rsidR="00522F2F" w:rsidRPr="00484D19" w:rsidRDefault="00522F2F">
            <w:pPr>
              <w:autoSpaceDE w:val="0"/>
              <w:autoSpaceDN w:val="0"/>
              <w:adjustRightInd w:val="0"/>
              <w:spacing w:after="120"/>
              <w:rPr>
                <w:rFonts w:ascii="Arial" w:hAnsi="Arial" w:cs="Arial"/>
                <w:sz w:val="18"/>
                <w:szCs w:val="18"/>
              </w:rPr>
            </w:pPr>
            <w:r>
              <w:rPr>
                <w:rFonts w:ascii="Arial" w:hAnsi="Arial" w:cs="Arial"/>
                <w:sz w:val="18"/>
                <w:szCs w:val="18"/>
              </w:rPr>
              <w:t>Category B</w:t>
            </w:r>
          </w:p>
        </w:tc>
        <w:tc>
          <w:tcPr>
            <w:tcW w:w="709" w:type="dxa"/>
            <w:shd w:val="clear" w:color="auto" w:fill="auto"/>
          </w:tcPr>
          <w:p w14:paraId="6BE35CD3" w14:textId="77777777" w:rsidR="00522F2F" w:rsidRPr="00484D19" w:rsidRDefault="00522F2F"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C6D08FC" w14:textId="77777777" w:rsidR="00522F2F" w:rsidRPr="00484D19" w:rsidRDefault="00522F2F"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4DFE689D" w14:textId="77777777" w:rsidR="00522F2F" w:rsidRPr="00484D19" w:rsidRDefault="00522F2F" w:rsidP="00AB5CD8">
            <w:pPr>
              <w:autoSpaceDE w:val="0"/>
              <w:autoSpaceDN w:val="0"/>
              <w:adjustRightInd w:val="0"/>
              <w:spacing w:after="60"/>
              <w:rPr>
                <w:rFonts w:ascii="Arial" w:eastAsiaTheme="minorHAnsi" w:hAnsi="Arial" w:cs="Arial"/>
                <w:bCs/>
                <w:sz w:val="18"/>
                <w:szCs w:val="18"/>
                <w:lang w:eastAsia="en-US"/>
              </w:rPr>
            </w:pPr>
          </w:p>
        </w:tc>
      </w:tr>
      <w:tr w:rsidR="00AF097D" w:rsidRPr="00484D19" w14:paraId="7ED5EC2B" w14:textId="77777777" w:rsidTr="00255963">
        <w:trPr>
          <w:trHeight w:val="383"/>
        </w:trPr>
        <w:tc>
          <w:tcPr>
            <w:tcW w:w="566" w:type="dxa"/>
            <w:shd w:val="clear" w:color="auto" w:fill="auto"/>
          </w:tcPr>
          <w:p w14:paraId="419938BE" w14:textId="77777777" w:rsidR="00AF097D" w:rsidRDefault="00AF097D" w:rsidP="00AB5CD8">
            <w:pPr>
              <w:pStyle w:val="Default"/>
              <w:spacing w:after="60"/>
              <w:rPr>
                <w:rFonts w:ascii="Arial" w:hAnsi="Arial" w:cs="Arial"/>
                <w:bCs/>
                <w:sz w:val="18"/>
                <w:szCs w:val="18"/>
              </w:rPr>
            </w:pPr>
          </w:p>
        </w:tc>
        <w:tc>
          <w:tcPr>
            <w:tcW w:w="5388" w:type="dxa"/>
            <w:shd w:val="clear" w:color="auto" w:fill="auto"/>
          </w:tcPr>
          <w:p w14:paraId="7FEDCE0F" w14:textId="77777777" w:rsidR="00AF097D" w:rsidRPr="00AF097D" w:rsidRDefault="00AF097D" w:rsidP="00AF097D">
            <w:pPr>
              <w:autoSpaceDE w:val="0"/>
              <w:autoSpaceDN w:val="0"/>
              <w:adjustRightInd w:val="0"/>
              <w:spacing w:after="120"/>
              <w:rPr>
                <w:rFonts w:ascii="Arial" w:hAnsi="Arial" w:cs="Arial"/>
                <w:sz w:val="18"/>
                <w:szCs w:val="18"/>
              </w:rPr>
            </w:pPr>
            <w:r w:rsidRPr="00AF097D">
              <w:rPr>
                <w:rFonts w:ascii="Arial" w:hAnsi="Arial" w:cs="Arial"/>
                <w:sz w:val="18"/>
                <w:szCs w:val="18"/>
              </w:rPr>
              <w:t>Where the rate is not fixed:</w:t>
            </w:r>
          </w:p>
          <w:p w14:paraId="61071D84" w14:textId="77777777" w:rsidR="00AF097D" w:rsidRPr="00AF097D" w:rsidRDefault="00AF097D" w:rsidP="00AF097D">
            <w:pPr>
              <w:autoSpaceDE w:val="0"/>
              <w:autoSpaceDN w:val="0"/>
              <w:adjustRightInd w:val="0"/>
              <w:spacing w:after="120"/>
              <w:rPr>
                <w:rFonts w:ascii="Arial" w:hAnsi="Arial" w:cs="Arial"/>
                <w:sz w:val="18"/>
                <w:szCs w:val="18"/>
              </w:rPr>
            </w:pPr>
            <w:r w:rsidRPr="00AF097D">
              <w:rPr>
                <w:rFonts w:ascii="Arial" w:hAnsi="Arial" w:cs="Arial"/>
                <w:sz w:val="18"/>
                <w:szCs w:val="18"/>
              </w:rPr>
              <w:t>(a) a statement setting out the type of underlying;</w:t>
            </w:r>
          </w:p>
          <w:p w14:paraId="69044BC2" w14:textId="77777777" w:rsidR="00AF097D" w:rsidRPr="00AF097D" w:rsidRDefault="00AF097D" w:rsidP="00AF097D">
            <w:pPr>
              <w:autoSpaceDE w:val="0"/>
              <w:autoSpaceDN w:val="0"/>
              <w:adjustRightInd w:val="0"/>
              <w:spacing w:after="120"/>
              <w:rPr>
                <w:rFonts w:ascii="Arial" w:hAnsi="Arial" w:cs="Arial"/>
                <w:sz w:val="18"/>
                <w:szCs w:val="18"/>
              </w:rPr>
            </w:pPr>
            <w:r w:rsidRPr="00AF097D">
              <w:rPr>
                <w:rFonts w:ascii="Arial" w:hAnsi="Arial" w:cs="Arial"/>
                <w:sz w:val="18"/>
                <w:szCs w:val="18"/>
              </w:rPr>
              <w:t>(b) a description of the underlying on which the rate is based;</w:t>
            </w:r>
          </w:p>
          <w:p w14:paraId="64DB4683" w14:textId="77777777" w:rsidR="00AF097D" w:rsidRPr="00AF097D" w:rsidRDefault="00AF097D" w:rsidP="00AF097D">
            <w:pPr>
              <w:autoSpaceDE w:val="0"/>
              <w:autoSpaceDN w:val="0"/>
              <w:adjustRightInd w:val="0"/>
              <w:spacing w:after="120"/>
              <w:rPr>
                <w:rFonts w:ascii="Arial" w:hAnsi="Arial" w:cs="Arial"/>
                <w:sz w:val="18"/>
                <w:szCs w:val="18"/>
              </w:rPr>
            </w:pPr>
            <w:r w:rsidRPr="00AF097D">
              <w:rPr>
                <w:rFonts w:ascii="Arial" w:hAnsi="Arial" w:cs="Arial"/>
                <w:sz w:val="18"/>
                <w:szCs w:val="18"/>
              </w:rPr>
              <w:lastRenderedPageBreak/>
              <w:t>(c) of the method used to relate the rate with the underlying;</w:t>
            </w:r>
          </w:p>
          <w:p w14:paraId="4B2D0527" w14:textId="77777777" w:rsidR="00AF097D" w:rsidRPr="00AF097D" w:rsidRDefault="00AF097D" w:rsidP="00AF097D">
            <w:pPr>
              <w:autoSpaceDE w:val="0"/>
              <w:autoSpaceDN w:val="0"/>
              <w:adjustRightInd w:val="0"/>
              <w:spacing w:after="120"/>
              <w:rPr>
                <w:rFonts w:ascii="Arial" w:hAnsi="Arial" w:cs="Arial"/>
                <w:sz w:val="18"/>
                <w:szCs w:val="18"/>
              </w:rPr>
            </w:pPr>
            <w:r w:rsidRPr="00AF097D">
              <w:rPr>
                <w:rFonts w:ascii="Arial" w:hAnsi="Arial" w:cs="Arial"/>
                <w:sz w:val="18"/>
                <w:szCs w:val="18"/>
              </w:rPr>
              <w:t xml:space="preserve">(d) an indication where information about the past and the further performance of the underlying and its volatility can be obtained by electronic means and whether or not it can be obtained free of </w:t>
            </w:r>
            <w:proofErr w:type="gramStart"/>
            <w:r w:rsidRPr="00AF097D">
              <w:rPr>
                <w:rFonts w:ascii="Arial" w:hAnsi="Arial" w:cs="Arial"/>
                <w:sz w:val="18"/>
                <w:szCs w:val="18"/>
              </w:rPr>
              <w:t>charge;</w:t>
            </w:r>
            <w:proofErr w:type="gramEnd"/>
          </w:p>
          <w:p w14:paraId="192B82C9" w14:textId="77777777" w:rsidR="00AF097D" w:rsidRPr="00AF097D" w:rsidRDefault="00AF097D" w:rsidP="00AF097D">
            <w:pPr>
              <w:autoSpaceDE w:val="0"/>
              <w:autoSpaceDN w:val="0"/>
              <w:adjustRightInd w:val="0"/>
              <w:spacing w:after="120"/>
              <w:rPr>
                <w:rFonts w:ascii="Arial" w:hAnsi="Arial" w:cs="Arial"/>
                <w:sz w:val="18"/>
                <w:szCs w:val="18"/>
              </w:rPr>
            </w:pPr>
            <w:r w:rsidRPr="00AF097D">
              <w:rPr>
                <w:rFonts w:ascii="Arial" w:hAnsi="Arial" w:cs="Arial"/>
                <w:sz w:val="18"/>
                <w:szCs w:val="18"/>
              </w:rPr>
              <w:t>(e) a description of any market disruption or settlement disruption events that affect the underlying;</w:t>
            </w:r>
          </w:p>
          <w:p w14:paraId="354515CA" w14:textId="77777777" w:rsidR="00AF097D" w:rsidRPr="00AF097D" w:rsidRDefault="00AF097D" w:rsidP="00AF097D">
            <w:pPr>
              <w:autoSpaceDE w:val="0"/>
              <w:autoSpaceDN w:val="0"/>
              <w:adjustRightInd w:val="0"/>
              <w:spacing w:after="120"/>
              <w:rPr>
                <w:rFonts w:ascii="Arial" w:hAnsi="Arial" w:cs="Arial"/>
                <w:sz w:val="18"/>
                <w:szCs w:val="18"/>
              </w:rPr>
            </w:pPr>
            <w:r w:rsidRPr="00AF097D">
              <w:rPr>
                <w:rFonts w:ascii="Arial" w:hAnsi="Arial" w:cs="Arial"/>
                <w:sz w:val="18"/>
                <w:szCs w:val="18"/>
              </w:rPr>
              <w:t>(f) any adjustment rules with relation to events concerning the underlying;</w:t>
            </w:r>
          </w:p>
          <w:p w14:paraId="3661A5C6" w14:textId="77777777" w:rsidR="00AF097D" w:rsidRPr="00AF097D" w:rsidRDefault="00AF097D" w:rsidP="00AF097D">
            <w:pPr>
              <w:autoSpaceDE w:val="0"/>
              <w:autoSpaceDN w:val="0"/>
              <w:adjustRightInd w:val="0"/>
              <w:spacing w:after="120"/>
              <w:rPr>
                <w:rFonts w:ascii="Arial" w:hAnsi="Arial" w:cs="Arial"/>
                <w:sz w:val="18"/>
                <w:szCs w:val="18"/>
              </w:rPr>
            </w:pPr>
            <w:r w:rsidRPr="00AF097D">
              <w:rPr>
                <w:rFonts w:ascii="Arial" w:hAnsi="Arial" w:cs="Arial"/>
                <w:sz w:val="18"/>
                <w:szCs w:val="18"/>
              </w:rPr>
              <w:t>(g) the name of the calculation agent;</w:t>
            </w:r>
          </w:p>
          <w:p w14:paraId="2E22B9A0" w14:textId="5B216A08" w:rsidR="00AF097D" w:rsidRDefault="00AF097D" w:rsidP="00AF097D">
            <w:pPr>
              <w:autoSpaceDE w:val="0"/>
              <w:autoSpaceDN w:val="0"/>
              <w:adjustRightInd w:val="0"/>
              <w:spacing w:after="120"/>
              <w:rPr>
                <w:rFonts w:ascii="Arial" w:hAnsi="Arial" w:cs="Arial"/>
                <w:sz w:val="18"/>
                <w:szCs w:val="18"/>
              </w:rPr>
            </w:pPr>
            <w:r w:rsidRPr="00AF097D">
              <w:rPr>
                <w:rFonts w:ascii="Arial" w:hAnsi="Arial" w:cs="Arial"/>
                <w:sz w:val="18"/>
                <w:szCs w:val="18"/>
              </w:rPr>
              <w:t>(h) if the security has a derivative component in the interest payment, a clear and comprehensive explanation to help investors understand how the value of their investment is affected by the value of the underlying instrument(s), especially under the circumstances when the risks are most evident.</w:t>
            </w:r>
          </w:p>
        </w:tc>
        <w:tc>
          <w:tcPr>
            <w:tcW w:w="1275" w:type="dxa"/>
          </w:tcPr>
          <w:p w14:paraId="72E4E24A" w14:textId="77777777" w:rsidR="00AF097D" w:rsidRDefault="00AF097D" w:rsidP="00255963">
            <w:pPr>
              <w:autoSpaceDE w:val="0"/>
              <w:autoSpaceDN w:val="0"/>
              <w:adjustRightInd w:val="0"/>
              <w:spacing w:after="120"/>
              <w:rPr>
                <w:rFonts w:ascii="Arial" w:hAnsi="Arial" w:cs="Arial"/>
                <w:sz w:val="18"/>
                <w:szCs w:val="18"/>
              </w:rPr>
            </w:pPr>
          </w:p>
          <w:p w14:paraId="505827F8" w14:textId="77777777" w:rsidR="00AF097D" w:rsidRDefault="00AF097D" w:rsidP="00255963">
            <w:pPr>
              <w:autoSpaceDE w:val="0"/>
              <w:autoSpaceDN w:val="0"/>
              <w:adjustRightInd w:val="0"/>
              <w:spacing w:after="120"/>
              <w:rPr>
                <w:rFonts w:ascii="Arial" w:hAnsi="Arial" w:cs="Arial"/>
                <w:sz w:val="18"/>
                <w:szCs w:val="18"/>
              </w:rPr>
            </w:pPr>
            <w:r w:rsidRPr="00AF097D">
              <w:rPr>
                <w:rFonts w:ascii="Arial" w:hAnsi="Arial" w:cs="Arial"/>
                <w:sz w:val="18"/>
                <w:szCs w:val="18"/>
              </w:rPr>
              <w:t>Category A</w:t>
            </w:r>
          </w:p>
          <w:p w14:paraId="3F4705E1" w14:textId="77777777" w:rsidR="00AF097D" w:rsidRDefault="00AF097D" w:rsidP="00255963">
            <w:pPr>
              <w:autoSpaceDE w:val="0"/>
              <w:autoSpaceDN w:val="0"/>
              <w:adjustRightInd w:val="0"/>
              <w:spacing w:after="120"/>
              <w:rPr>
                <w:rFonts w:ascii="Arial" w:hAnsi="Arial" w:cs="Arial"/>
                <w:sz w:val="18"/>
                <w:szCs w:val="18"/>
              </w:rPr>
            </w:pPr>
            <w:r>
              <w:rPr>
                <w:rFonts w:ascii="Arial" w:hAnsi="Arial" w:cs="Arial"/>
                <w:sz w:val="18"/>
                <w:szCs w:val="18"/>
              </w:rPr>
              <w:t>Category C</w:t>
            </w:r>
          </w:p>
          <w:p w14:paraId="256B5273" w14:textId="77777777" w:rsidR="00AF097D" w:rsidRDefault="00AF097D" w:rsidP="00255963">
            <w:pPr>
              <w:autoSpaceDE w:val="0"/>
              <w:autoSpaceDN w:val="0"/>
              <w:adjustRightInd w:val="0"/>
              <w:spacing w:after="120"/>
              <w:rPr>
                <w:rFonts w:ascii="Arial" w:hAnsi="Arial" w:cs="Arial"/>
                <w:sz w:val="18"/>
                <w:szCs w:val="18"/>
              </w:rPr>
            </w:pPr>
            <w:r>
              <w:rPr>
                <w:rFonts w:ascii="Arial" w:hAnsi="Arial" w:cs="Arial"/>
                <w:sz w:val="18"/>
                <w:szCs w:val="18"/>
              </w:rPr>
              <w:lastRenderedPageBreak/>
              <w:t>Category B</w:t>
            </w:r>
          </w:p>
          <w:p w14:paraId="24E8844B" w14:textId="77777777" w:rsidR="00AF097D" w:rsidRDefault="00AF097D" w:rsidP="00255963">
            <w:pPr>
              <w:autoSpaceDE w:val="0"/>
              <w:autoSpaceDN w:val="0"/>
              <w:adjustRightInd w:val="0"/>
              <w:spacing w:after="120"/>
              <w:rPr>
                <w:rFonts w:ascii="Arial" w:hAnsi="Arial" w:cs="Arial"/>
                <w:sz w:val="18"/>
                <w:szCs w:val="18"/>
              </w:rPr>
            </w:pPr>
            <w:r>
              <w:rPr>
                <w:rFonts w:ascii="Arial" w:hAnsi="Arial" w:cs="Arial"/>
                <w:sz w:val="18"/>
                <w:szCs w:val="18"/>
              </w:rPr>
              <w:t>Category C</w:t>
            </w:r>
          </w:p>
          <w:p w14:paraId="24BFCDDE" w14:textId="77777777" w:rsidR="00AF097D" w:rsidRDefault="00AF097D" w:rsidP="00255963">
            <w:pPr>
              <w:autoSpaceDE w:val="0"/>
              <w:autoSpaceDN w:val="0"/>
              <w:adjustRightInd w:val="0"/>
              <w:spacing w:after="120"/>
              <w:rPr>
                <w:rFonts w:ascii="Arial" w:hAnsi="Arial" w:cs="Arial"/>
                <w:sz w:val="18"/>
                <w:szCs w:val="18"/>
              </w:rPr>
            </w:pPr>
          </w:p>
          <w:p w14:paraId="371AF810" w14:textId="77777777" w:rsidR="00AF097D" w:rsidRDefault="00AF097D" w:rsidP="00255963">
            <w:pPr>
              <w:autoSpaceDE w:val="0"/>
              <w:autoSpaceDN w:val="0"/>
              <w:adjustRightInd w:val="0"/>
              <w:spacing w:after="120"/>
              <w:rPr>
                <w:rFonts w:ascii="Arial" w:hAnsi="Arial" w:cs="Arial"/>
                <w:sz w:val="18"/>
                <w:szCs w:val="18"/>
              </w:rPr>
            </w:pPr>
          </w:p>
          <w:p w14:paraId="1339F2D8" w14:textId="77777777" w:rsidR="00AF097D" w:rsidRDefault="00AF097D" w:rsidP="00255963">
            <w:pPr>
              <w:autoSpaceDE w:val="0"/>
              <w:autoSpaceDN w:val="0"/>
              <w:adjustRightInd w:val="0"/>
              <w:spacing w:after="120"/>
              <w:rPr>
                <w:rFonts w:ascii="Arial" w:hAnsi="Arial" w:cs="Arial"/>
                <w:sz w:val="18"/>
                <w:szCs w:val="18"/>
              </w:rPr>
            </w:pPr>
            <w:r>
              <w:rPr>
                <w:rFonts w:ascii="Arial" w:hAnsi="Arial" w:cs="Arial"/>
                <w:sz w:val="18"/>
                <w:szCs w:val="18"/>
              </w:rPr>
              <w:t>Category B</w:t>
            </w:r>
          </w:p>
          <w:p w14:paraId="1B5E8C25" w14:textId="77777777" w:rsidR="00AF097D" w:rsidRDefault="00AF097D" w:rsidP="00255963">
            <w:pPr>
              <w:autoSpaceDE w:val="0"/>
              <w:autoSpaceDN w:val="0"/>
              <w:adjustRightInd w:val="0"/>
              <w:spacing w:after="120"/>
              <w:rPr>
                <w:rFonts w:ascii="Arial" w:hAnsi="Arial" w:cs="Arial"/>
                <w:sz w:val="18"/>
                <w:szCs w:val="18"/>
              </w:rPr>
            </w:pPr>
          </w:p>
          <w:p w14:paraId="4FB646BF" w14:textId="77777777" w:rsidR="00AF097D" w:rsidRDefault="00AF097D" w:rsidP="00255963">
            <w:pPr>
              <w:autoSpaceDE w:val="0"/>
              <w:autoSpaceDN w:val="0"/>
              <w:adjustRightInd w:val="0"/>
              <w:spacing w:after="120"/>
              <w:rPr>
                <w:rFonts w:ascii="Arial" w:hAnsi="Arial" w:cs="Arial"/>
                <w:sz w:val="18"/>
                <w:szCs w:val="18"/>
              </w:rPr>
            </w:pPr>
            <w:r>
              <w:rPr>
                <w:rFonts w:ascii="Arial" w:hAnsi="Arial" w:cs="Arial"/>
                <w:sz w:val="18"/>
                <w:szCs w:val="18"/>
              </w:rPr>
              <w:t>Category B</w:t>
            </w:r>
          </w:p>
          <w:p w14:paraId="27765E22" w14:textId="77777777" w:rsidR="00AF097D" w:rsidRDefault="00AF097D" w:rsidP="00255963">
            <w:pPr>
              <w:autoSpaceDE w:val="0"/>
              <w:autoSpaceDN w:val="0"/>
              <w:adjustRightInd w:val="0"/>
              <w:spacing w:after="120"/>
              <w:rPr>
                <w:rFonts w:ascii="Arial" w:hAnsi="Arial" w:cs="Arial"/>
                <w:sz w:val="18"/>
                <w:szCs w:val="18"/>
              </w:rPr>
            </w:pPr>
            <w:r>
              <w:rPr>
                <w:rFonts w:ascii="Arial" w:hAnsi="Arial" w:cs="Arial"/>
                <w:sz w:val="18"/>
                <w:szCs w:val="18"/>
              </w:rPr>
              <w:t>Category C</w:t>
            </w:r>
          </w:p>
          <w:p w14:paraId="0537F87C" w14:textId="544CB04F" w:rsidR="00AF097D" w:rsidRPr="00522F2F" w:rsidRDefault="00AF097D" w:rsidP="00255963">
            <w:pPr>
              <w:autoSpaceDE w:val="0"/>
              <w:autoSpaceDN w:val="0"/>
              <w:adjustRightInd w:val="0"/>
              <w:spacing w:after="120"/>
              <w:rPr>
                <w:rFonts w:ascii="Arial" w:hAnsi="Arial" w:cs="Arial"/>
                <w:sz w:val="18"/>
                <w:szCs w:val="18"/>
              </w:rPr>
            </w:pPr>
            <w:r>
              <w:rPr>
                <w:rFonts w:ascii="Arial" w:hAnsi="Arial" w:cs="Arial"/>
                <w:sz w:val="18"/>
                <w:szCs w:val="18"/>
              </w:rPr>
              <w:t>Category B</w:t>
            </w:r>
          </w:p>
        </w:tc>
        <w:tc>
          <w:tcPr>
            <w:tcW w:w="709" w:type="dxa"/>
            <w:shd w:val="clear" w:color="auto" w:fill="auto"/>
          </w:tcPr>
          <w:p w14:paraId="4F4459DA" w14:textId="77777777" w:rsidR="00AF097D" w:rsidRPr="00484D19" w:rsidRDefault="00AF097D"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C37F1DD" w14:textId="77777777" w:rsidR="00AF097D" w:rsidRPr="00484D19" w:rsidRDefault="00AF097D"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594673D1" w14:textId="77777777" w:rsidR="00AF097D" w:rsidRPr="00484D19" w:rsidRDefault="00AF097D" w:rsidP="00AB5CD8">
            <w:pPr>
              <w:autoSpaceDE w:val="0"/>
              <w:autoSpaceDN w:val="0"/>
              <w:adjustRightInd w:val="0"/>
              <w:spacing w:after="60"/>
              <w:rPr>
                <w:rFonts w:ascii="Arial" w:eastAsiaTheme="minorHAnsi" w:hAnsi="Arial" w:cs="Arial"/>
                <w:bCs/>
                <w:sz w:val="18"/>
                <w:szCs w:val="18"/>
                <w:lang w:eastAsia="en-US"/>
              </w:rPr>
            </w:pPr>
          </w:p>
        </w:tc>
      </w:tr>
      <w:tr w:rsidR="00631404" w:rsidRPr="00484D19" w14:paraId="772D0F9D" w14:textId="77777777" w:rsidTr="00255963">
        <w:trPr>
          <w:trHeight w:val="383"/>
        </w:trPr>
        <w:tc>
          <w:tcPr>
            <w:tcW w:w="566" w:type="dxa"/>
            <w:shd w:val="clear" w:color="auto" w:fill="auto"/>
          </w:tcPr>
          <w:p w14:paraId="1B950EBF" w14:textId="17DA621E" w:rsidR="00631404" w:rsidRPr="00BB2634" w:rsidRDefault="00631404" w:rsidP="00AB5CD8">
            <w:pPr>
              <w:pStyle w:val="Default"/>
              <w:spacing w:after="60"/>
              <w:rPr>
                <w:rFonts w:ascii="Arial" w:hAnsi="Arial" w:cs="Arial"/>
                <w:bCs/>
                <w:sz w:val="18"/>
                <w:szCs w:val="18"/>
              </w:rPr>
            </w:pPr>
            <w:r w:rsidRPr="00BB2634">
              <w:rPr>
                <w:rFonts w:ascii="Arial" w:hAnsi="Arial" w:cs="Arial"/>
                <w:bCs/>
                <w:sz w:val="18"/>
                <w:szCs w:val="18"/>
              </w:rPr>
              <w:t xml:space="preserve">3.1.8 </w:t>
            </w:r>
          </w:p>
        </w:tc>
        <w:tc>
          <w:tcPr>
            <w:tcW w:w="5388" w:type="dxa"/>
            <w:shd w:val="clear" w:color="auto" w:fill="auto"/>
          </w:tcPr>
          <w:p w14:paraId="44E27CAB" w14:textId="56C5C8FC" w:rsidR="00631404" w:rsidRPr="003A2132" w:rsidRDefault="00631404" w:rsidP="00255963">
            <w:pPr>
              <w:pStyle w:val="ListParagraph"/>
              <w:numPr>
                <w:ilvl w:val="0"/>
                <w:numId w:val="28"/>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Maturity date. </w:t>
            </w:r>
          </w:p>
          <w:p w14:paraId="40636DA8" w14:textId="595B6C12" w:rsidR="00631404" w:rsidRPr="00484D19" w:rsidRDefault="00631404" w:rsidP="00255963">
            <w:pPr>
              <w:pStyle w:val="ListParagraph"/>
              <w:numPr>
                <w:ilvl w:val="0"/>
                <w:numId w:val="28"/>
              </w:numPr>
              <w:autoSpaceDE w:val="0"/>
              <w:autoSpaceDN w:val="0"/>
              <w:adjustRightInd w:val="0"/>
              <w:spacing w:after="120"/>
              <w:rPr>
                <w:rFonts w:ascii="Arial" w:hAnsi="Arial" w:cs="Arial"/>
                <w:sz w:val="18"/>
                <w:szCs w:val="18"/>
              </w:rPr>
            </w:pPr>
            <w:r w:rsidRPr="003A2132">
              <w:rPr>
                <w:rFonts w:ascii="Arial" w:eastAsiaTheme="minorHAnsi" w:hAnsi="Arial" w:cs="Arial"/>
                <w:color w:val="000000"/>
                <w:sz w:val="18"/>
                <w:szCs w:val="18"/>
                <w:lang w:eastAsia="en-US"/>
              </w:rPr>
              <w:t xml:space="preserve">Details of the arrangements for the amortisation of the loan, including the repayment procedures. Where advance amortisation is contemplated, on the initiative of the issuer or of the holder, it shall be described, stipulating amortisation terms and conditions </w:t>
            </w:r>
          </w:p>
        </w:tc>
        <w:tc>
          <w:tcPr>
            <w:tcW w:w="1275" w:type="dxa"/>
          </w:tcPr>
          <w:p w14:paraId="2ED95A07" w14:textId="77777777" w:rsidR="00631404" w:rsidRPr="00484D19" w:rsidRDefault="00631404"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Category C</w:t>
            </w:r>
          </w:p>
          <w:p w14:paraId="4172AFAE" w14:textId="5D2424FB"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eastAsiaTheme="minorHAnsi" w:hAnsi="Arial" w:cs="Arial"/>
                <w:color w:val="000000"/>
                <w:sz w:val="18"/>
                <w:szCs w:val="18"/>
                <w:lang w:eastAsia="en-US"/>
              </w:rPr>
              <w:t xml:space="preserve">Category B </w:t>
            </w:r>
          </w:p>
        </w:tc>
        <w:tc>
          <w:tcPr>
            <w:tcW w:w="709" w:type="dxa"/>
            <w:shd w:val="clear" w:color="auto" w:fill="auto"/>
          </w:tcPr>
          <w:p w14:paraId="67CA8465"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F45FCE4"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1B03ADBE"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r>
      <w:tr w:rsidR="00631404" w:rsidRPr="00484D19" w14:paraId="20591C16" w14:textId="77777777" w:rsidTr="00255963">
        <w:trPr>
          <w:trHeight w:val="383"/>
        </w:trPr>
        <w:tc>
          <w:tcPr>
            <w:tcW w:w="566" w:type="dxa"/>
            <w:shd w:val="clear" w:color="auto" w:fill="auto"/>
          </w:tcPr>
          <w:p w14:paraId="56C0773D" w14:textId="2FF2C495" w:rsidR="00631404" w:rsidRPr="00BB2634" w:rsidRDefault="00631404" w:rsidP="00AB5CD8">
            <w:pPr>
              <w:pStyle w:val="Default"/>
              <w:spacing w:after="60"/>
              <w:rPr>
                <w:rFonts w:ascii="Arial" w:hAnsi="Arial" w:cs="Arial"/>
                <w:bCs/>
                <w:sz w:val="18"/>
                <w:szCs w:val="18"/>
              </w:rPr>
            </w:pPr>
            <w:r w:rsidRPr="00BB2634">
              <w:rPr>
                <w:rFonts w:ascii="Arial" w:hAnsi="Arial" w:cs="Arial"/>
                <w:bCs/>
                <w:sz w:val="18"/>
                <w:szCs w:val="18"/>
              </w:rPr>
              <w:t xml:space="preserve">3.1.9 </w:t>
            </w:r>
          </w:p>
        </w:tc>
        <w:tc>
          <w:tcPr>
            <w:tcW w:w="5388" w:type="dxa"/>
            <w:shd w:val="clear" w:color="auto" w:fill="auto"/>
          </w:tcPr>
          <w:p w14:paraId="5263E8FB" w14:textId="5A6B95C0" w:rsidR="00631404" w:rsidRPr="003A2132" w:rsidRDefault="00631404" w:rsidP="00255963">
            <w:pPr>
              <w:pStyle w:val="ListParagraph"/>
              <w:numPr>
                <w:ilvl w:val="0"/>
                <w:numId w:val="30"/>
              </w:numPr>
              <w:autoSpaceDE w:val="0"/>
              <w:autoSpaceDN w:val="0"/>
              <w:adjustRightInd w:val="0"/>
              <w:spacing w:after="120"/>
              <w:rPr>
                <w:rFonts w:ascii="Arial" w:eastAsiaTheme="minorHAnsi" w:hAnsi="Arial" w:cs="Arial"/>
                <w:color w:val="000000"/>
                <w:sz w:val="18"/>
                <w:szCs w:val="18"/>
                <w:lang w:eastAsia="en-US"/>
              </w:rPr>
            </w:pPr>
            <w:r w:rsidRPr="003A2132">
              <w:rPr>
                <w:rFonts w:ascii="Arial" w:eastAsiaTheme="minorHAnsi" w:hAnsi="Arial" w:cs="Arial"/>
                <w:color w:val="000000"/>
                <w:sz w:val="18"/>
                <w:szCs w:val="18"/>
                <w:lang w:eastAsia="en-US"/>
              </w:rPr>
              <w:t xml:space="preserve">An indication of yield. </w:t>
            </w:r>
          </w:p>
          <w:p w14:paraId="30AB52A0" w14:textId="00046734" w:rsidR="00631404" w:rsidRPr="00484D19" w:rsidRDefault="00631404" w:rsidP="00255963">
            <w:pPr>
              <w:pStyle w:val="ListParagraph"/>
              <w:numPr>
                <w:ilvl w:val="0"/>
                <w:numId w:val="30"/>
              </w:numPr>
              <w:autoSpaceDE w:val="0"/>
              <w:autoSpaceDN w:val="0"/>
              <w:adjustRightInd w:val="0"/>
              <w:spacing w:after="120"/>
              <w:rPr>
                <w:rFonts w:ascii="Arial" w:hAnsi="Arial" w:cs="Arial"/>
                <w:sz w:val="18"/>
                <w:szCs w:val="18"/>
              </w:rPr>
            </w:pPr>
            <w:r w:rsidRPr="003A2132">
              <w:rPr>
                <w:rFonts w:ascii="Arial" w:eastAsiaTheme="minorHAnsi" w:hAnsi="Arial" w:cs="Arial"/>
                <w:color w:val="000000"/>
                <w:sz w:val="18"/>
                <w:szCs w:val="18"/>
                <w:lang w:eastAsia="en-US"/>
              </w:rPr>
              <w:t xml:space="preserve">A description of the method whereby that yield is calculated in summary form. </w:t>
            </w:r>
          </w:p>
        </w:tc>
        <w:tc>
          <w:tcPr>
            <w:tcW w:w="1275" w:type="dxa"/>
          </w:tcPr>
          <w:p w14:paraId="497D6BF6" w14:textId="77777777" w:rsidR="00631404" w:rsidRPr="00484D19" w:rsidRDefault="00631404"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Category C</w:t>
            </w:r>
          </w:p>
          <w:p w14:paraId="378D9A71" w14:textId="6D30ABB1"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eastAsiaTheme="minorHAnsi" w:hAnsi="Arial" w:cs="Arial"/>
                <w:color w:val="000000"/>
                <w:sz w:val="18"/>
                <w:szCs w:val="18"/>
                <w:lang w:eastAsia="en-US"/>
              </w:rPr>
              <w:t xml:space="preserve">Category B </w:t>
            </w:r>
          </w:p>
        </w:tc>
        <w:tc>
          <w:tcPr>
            <w:tcW w:w="709" w:type="dxa"/>
            <w:shd w:val="clear" w:color="auto" w:fill="auto"/>
          </w:tcPr>
          <w:p w14:paraId="4E6AC47B"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1007DF2"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AEC8FE5"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r>
      <w:tr w:rsidR="00631404" w:rsidRPr="00484D19" w14:paraId="040BBBDC" w14:textId="77777777" w:rsidTr="00255963">
        <w:trPr>
          <w:trHeight w:val="383"/>
        </w:trPr>
        <w:tc>
          <w:tcPr>
            <w:tcW w:w="566" w:type="dxa"/>
            <w:shd w:val="clear" w:color="auto" w:fill="auto"/>
          </w:tcPr>
          <w:p w14:paraId="6BA73390" w14:textId="0F6C5E00" w:rsidR="00631404" w:rsidRPr="00BB2634" w:rsidRDefault="00631404" w:rsidP="00AB5CD8">
            <w:pPr>
              <w:pStyle w:val="Default"/>
              <w:spacing w:after="60"/>
              <w:rPr>
                <w:rFonts w:ascii="Arial" w:hAnsi="Arial" w:cs="Arial"/>
                <w:bCs/>
                <w:sz w:val="18"/>
                <w:szCs w:val="18"/>
              </w:rPr>
            </w:pPr>
            <w:r w:rsidRPr="00BB2634">
              <w:rPr>
                <w:rFonts w:ascii="Arial" w:hAnsi="Arial" w:cs="Arial"/>
                <w:bCs/>
                <w:sz w:val="18"/>
                <w:szCs w:val="18"/>
              </w:rPr>
              <w:t xml:space="preserve">3.1.10 </w:t>
            </w:r>
          </w:p>
        </w:tc>
        <w:tc>
          <w:tcPr>
            <w:tcW w:w="5388" w:type="dxa"/>
            <w:shd w:val="clear" w:color="auto" w:fill="auto"/>
          </w:tcPr>
          <w:p w14:paraId="08720E7B" w14:textId="77FB53E3" w:rsidR="00631404" w:rsidRPr="00484D19" w:rsidRDefault="00631404" w:rsidP="00255963">
            <w:pPr>
              <w:pStyle w:val="Default"/>
              <w:spacing w:after="120"/>
              <w:rPr>
                <w:rFonts w:ascii="Arial" w:hAnsi="Arial" w:cs="Arial"/>
                <w:color w:val="auto"/>
                <w:sz w:val="18"/>
                <w:szCs w:val="18"/>
              </w:rPr>
            </w:pPr>
            <w:r w:rsidRPr="00484D19">
              <w:rPr>
                <w:rFonts w:ascii="Arial" w:hAnsi="Arial" w:cs="Arial"/>
                <w:sz w:val="18"/>
                <w:szCs w:val="18"/>
              </w:rPr>
              <w:t xml:space="preserve">Representation of non-equity security holders including an identification of the organisation representing the investors and provisions applying to such representation. Indication of the website where the public may have free access to the contracts relating to these forms of representation. </w:t>
            </w:r>
          </w:p>
        </w:tc>
        <w:tc>
          <w:tcPr>
            <w:tcW w:w="1275" w:type="dxa"/>
          </w:tcPr>
          <w:p w14:paraId="1AA23F35" w14:textId="7FCE352E"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eastAsiaTheme="minorHAnsi" w:hAnsi="Arial" w:cs="Arial"/>
                <w:color w:val="000000"/>
                <w:sz w:val="18"/>
                <w:szCs w:val="18"/>
                <w:lang w:eastAsia="en-US"/>
              </w:rPr>
              <w:t xml:space="preserve">Category B </w:t>
            </w:r>
          </w:p>
        </w:tc>
        <w:tc>
          <w:tcPr>
            <w:tcW w:w="709" w:type="dxa"/>
            <w:shd w:val="clear" w:color="auto" w:fill="auto"/>
          </w:tcPr>
          <w:p w14:paraId="5D5F8269"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41ACBCA"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308CF77"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r>
      <w:tr w:rsidR="00631404" w:rsidRPr="00484D19" w14:paraId="47D654B6" w14:textId="77777777" w:rsidTr="00255963">
        <w:trPr>
          <w:trHeight w:val="383"/>
        </w:trPr>
        <w:tc>
          <w:tcPr>
            <w:tcW w:w="566" w:type="dxa"/>
            <w:shd w:val="clear" w:color="auto" w:fill="auto"/>
          </w:tcPr>
          <w:p w14:paraId="54467324" w14:textId="4B5EDF9F" w:rsidR="00631404" w:rsidRPr="00BB2634" w:rsidRDefault="00631404" w:rsidP="00AB5CD8">
            <w:pPr>
              <w:pStyle w:val="Default"/>
              <w:spacing w:after="60"/>
              <w:rPr>
                <w:rFonts w:ascii="Arial" w:hAnsi="Arial" w:cs="Arial"/>
                <w:bCs/>
                <w:sz w:val="18"/>
                <w:szCs w:val="18"/>
              </w:rPr>
            </w:pPr>
            <w:r w:rsidRPr="00BB2634">
              <w:rPr>
                <w:rFonts w:ascii="Arial" w:hAnsi="Arial" w:cs="Arial"/>
                <w:bCs/>
                <w:sz w:val="18"/>
                <w:szCs w:val="18"/>
              </w:rPr>
              <w:t xml:space="preserve">3.1.11 </w:t>
            </w:r>
          </w:p>
        </w:tc>
        <w:tc>
          <w:tcPr>
            <w:tcW w:w="5388" w:type="dxa"/>
            <w:shd w:val="clear" w:color="auto" w:fill="auto"/>
          </w:tcPr>
          <w:p w14:paraId="2DBC0E9C" w14:textId="057B5D12" w:rsidR="00631404" w:rsidRPr="00484D19" w:rsidRDefault="00631404" w:rsidP="00255963">
            <w:pPr>
              <w:pStyle w:val="Default"/>
              <w:spacing w:after="120"/>
              <w:rPr>
                <w:rFonts w:ascii="Arial" w:hAnsi="Arial" w:cs="Arial"/>
                <w:color w:val="auto"/>
                <w:sz w:val="18"/>
                <w:szCs w:val="18"/>
              </w:rPr>
            </w:pPr>
            <w:r w:rsidRPr="00484D19">
              <w:rPr>
                <w:rFonts w:ascii="Arial" w:hAnsi="Arial" w:cs="Arial"/>
                <w:sz w:val="18"/>
                <w:szCs w:val="18"/>
              </w:rPr>
              <w:t xml:space="preserve">In the case of new issues, a statement of the resolutions, </w:t>
            </w:r>
            <w:proofErr w:type="gramStart"/>
            <w:r w:rsidRPr="00484D19">
              <w:rPr>
                <w:rFonts w:ascii="Arial" w:hAnsi="Arial" w:cs="Arial"/>
                <w:sz w:val="18"/>
                <w:szCs w:val="18"/>
              </w:rPr>
              <w:t>authorisations</w:t>
            </w:r>
            <w:proofErr w:type="gramEnd"/>
            <w:r w:rsidRPr="00484D19">
              <w:rPr>
                <w:rFonts w:ascii="Arial" w:hAnsi="Arial" w:cs="Arial"/>
                <w:sz w:val="18"/>
                <w:szCs w:val="18"/>
              </w:rPr>
              <w:t xml:space="preserve"> and approvals by virtue of which the securities have been or will be created and/or issued. </w:t>
            </w:r>
          </w:p>
        </w:tc>
        <w:tc>
          <w:tcPr>
            <w:tcW w:w="1275" w:type="dxa"/>
          </w:tcPr>
          <w:p w14:paraId="22894B0B" w14:textId="68AE2B57"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eastAsiaTheme="minorHAnsi" w:hAnsi="Arial" w:cs="Arial"/>
                <w:color w:val="000000"/>
                <w:sz w:val="18"/>
                <w:szCs w:val="18"/>
                <w:lang w:eastAsia="en-US"/>
              </w:rPr>
              <w:t xml:space="preserve">Category C </w:t>
            </w:r>
          </w:p>
        </w:tc>
        <w:tc>
          <w:tcPr>
            <w:tcW w:w="709" w:type="dxa"/>
            <w:shd w:val="clear" w:color="auto" w:fill="auto"/>
          </w:tcPr>
          <w:p w14:paraId="0810ACB5"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2BE48B7"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58F8475B"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r>
      <w:tr w:rsidR="00631404" w:rsidRPr="00484D19" w14:paraId="6B9F705B" w14:textId="77777777" w:rsidTr="00255963">
        <w:trPr>
          <w:trHeight w:val="383"/>
        </w:trPr>
        <w:tc>
          <w:tcPr>
            <w:tcW w:w="566" w:type="dxa"/>
            <w:shd w:val="clear" w:color="auto" w:fill="auto"/>
          </w:tcPr>
          <w:p w14:paraId="0CCA4565" w14:textId="11B5A464" w:rsidR="00631404" w:rsidRPr="00BB2634" w:rsidRDefault="00631404" w:rsidP="00AB5CD8">
            <w:pPr>
              <w:pStyle w:val="Default"/>
              <w:spacing w:after="60"/>
              <w:rPr>
                <w:rFonts w:ascii="Arial" w:hAnsi="Arial" w:cs="Arial"/>
                <w:bCs/>
                <w:sz w:val="18"/>
                <w:szCs w:val="18"/>
              </w:rPr>
            </w:pPr>
            <w:r w:rsidRPr="00BB2634">
              <w:rPr>
                <w:rFonts w:ascii="Arial" w:hAnsi="Arial" w:cs="Arial"/>
                <w:bCs/>
                <w:sz w:val="18"/>
                <w:szCs w:val="18"/>
              </w:rPr>
              <w:t xml:space="preserve">3.1.12 </w:t>
            </w:r>
          </w:p>
        </w:tc>
        <w:tc>
          <w:tcPr>
            <w:tcW w:w="5388" w:type="dxa"/>
            <w:shd w:val="clear" w:color="auto" w:fill="auto"/>
          </w:tcPr>
          <w:p w14:paraId="46D4D9D4" w14:textId="169AF99B" w:rsidR="00631404" w:rsidRPr="00484D19" w:rsidRDefault="00631404" w:rsidP="00255963">
            <w:pPr>
              <w:pStyle w:val="Default"/>
              <w:spacing w:after="120"/>
              <w:rPr>
                <w:rFonts w:ascii="Arial" w:hAnsi="Arial" w:cs="Arial"/>
                <w:color w:val="auto"/>
                <w:sz w:val="18"/>
                <w:szCs w:val="18"/>
              </w:rPr>
            </w:pPr>
            <w:r w:rsidRPr="00484D19">
              <w:rPr>
                <w:rFonts w:ascii="Arial" w:hAnsi="Arial" w:cs="Arial"/>
                <w:sz w:val="18"/>
                <w:szCs w:val="18"/>
              </w:rPr>
              <w:t xml:space="preserve">The issue date or in the case of new issues, the expected issue date of the securities. </w:t>
            </w:r>
          </w:p>
        </w:tc>
        <w:tc>
          <w:tcPr>
            <w:tcW w:w="1275" w:type="dxa"/>
          </w:tcPr>
          <w:p w14:paraId="6EB5854F" w14:textId="5266707F"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eastAsiaTheme="minorHAnsi" w:hAnsi="Arial" w:cs="Arial"/>
                <w:color w:val="000000"/>
                <w:sz w:val="18"/>
                <w:szCs w:val="18"/>
                <w:lang w:eastAsia="en-US"/>
              </w:rPr>
              <w:t xml:space="preserve">Category C </w:t>
            </w:r>
          </w:p>
        </w:tc>
        <w:tc>
          <w:tcPr>
            <w:tcW w:w="709" w:type="dxa"/>
            <w:shd w:val="clear" w:color="auto" w:fill="auto"/>
          </w:tcPr>
          <w:p w14:paraId="44C82C19"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E50936C"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43475FF"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r>
      <w:tr w:rsidR="00631404" w:rsidRPr="00484D19" w14:paraId="2B559AA3" w14:textId="77777777" w:rsidTr="00255963">
        <w:trPr>
          <w:trHeight w:val="383"/>
        </w:trPr>
        <w:tc>
          <w:tcPr>
            <w:tcW w:w="566" w:type="dxa"/>
            <w:shd w:val="clear" w:color="auto" w:fill="auto"/>
          </w:tcPr>
          <w:p w14:paraId="53084C37" w14:textId="00704AB4" w:rsidR="00631404" w:rsidRPr="00BB2634" w:rsidRDefault="00631404" w:rsidP="00AB5CD8">
            <w:pPr>
              <w:pStyle w:val="Default"/>
              <w:spacing w:after="60"/>
              <w:rPr>
                <w:rFonts w:ascii="Arial" w:hAnsi="Arial" w:cs="Arial"/>
                <w:bCs/>
                <w:sz w:val="18"/>
                <w:szCs w:val="18"/>
              </w:rPr>
            </w:pPr>
            <w:r w:rsidRPr="00BB2634">
              <w:rPr>
                <w:rFonts w:ascii="Arial" w:hAnsi="Arial" w:cs="Arial"/>
                <w:bCs/>
                <w:sz w:val="18"/>
                <w:szCs w:val="18"/>
              </w:rPr>
              <w:t xml:space="preserve">3.1.13 </w:t>
            </w:r>
          </w:p>
        </w:tc>
        <w:tc>
          <w:tcPr>
            <w:tcW w:w="5388" w:type="dxa"/>
            <w:shd w:val="clear" w:color="auto" w:fill="auto"/>
          </w:tcPr>
          <w:p w14:paraId="0060B1A7" w14:textId="147333AF" w:rsidR="00631404" w:rsidRPr="00484D19" w:rsidRDefault="00631404" w:rsidP="00255963">
            <w:pPr>
              <w:pStyle w:val="Default"/>
              <w:spacing w:after="120"/>
              <w:rPr>
                <w:rFonts w:ascii="Arial" w:hAnsi="Arial" w:cs="Arial"/>
                <w:color w:val="auto"/>
                <w:sz w:val="18"/>
                <w:szCs w:val="18"/>
              </w:rPr>
            </w:pPr>
            <w:r w:rsidRPr="00484D19">
              <w:rPr>
                <w:rFonts w:ascii="Arial" w:hAnsi="Arial" w:cs="Arial"/>
                <w:sz w:val="18"/>
                <w:szCs w:val="18"/>
              </w:rPr>
              <w:t xml:space="preserve">A description of any restrictions on the transferability of the securities. </w:t>
            </w:r>
          </w:p>
        </w:tc>
        <w:tc>
          <w:tcPr>
            <w:tcW w:w="1275" w:type="dxa"/>
          </w:tcPr>
          <w:p w14:paraId="188BF4B7" w14:textId="229286A2"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eastAsiaTheme="minorHAnsi" w:hAnsi="Arial" w:cs="Arial"/>
                <w:color w:val="000000"/>
                <w:sz w:val="18"/>
                <w:szCs w:val="18"/>
                <w:lang w:eastAsia="en-US"/>
              </w:rPr>
              <w:t xml:space="preserve">Category A </w:t>
            </w:r>
          </w:p>
        </w:tc>
        <w:tc>
          <w:tcPr>
            <w:tcW w:w="709" w:type="dxa"/>
            <w:shd w:val="clear" w:color="auto" w:fill="auto"/>
          </w:tcPr>
          <w:p w14:paraId="4C37C7EE"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2FDC731"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2CCF64AA"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r>
      <w:tr w:rsidR="00631404" w:rsidRPr="00484D19" w14:paraId="0DC2091F" w14:textId="77777777" w:rsidTr="00255963">
        <w:trPr>
          <w:trHeight w:val="383"/>
        </w:trPr>
        <w:tc>
          <w:tcPr>
            <w:tcW w:w="566" w:type="dxa"/>
            <w:shd w:val="clear" w:color="auto" w:fill="auto"/>
          </w:tcPr>
          <w:p w14:paraId="70DF3FD8" w14:textId="6EEE7B9B" w:rsidR="00631404" w:rsidRPr="00BB2634" w:rsidRDefault="00631404" w:rsidP="00AB5CD8">
            <w:pPr>
              <w:pStyle w:val="Default"/>
              <w:spacing w:after="60"/>
              <w:rPr>
                <w:rFonts w:ascii="Arial" w:hAnsi="Arial" w:cs="Arial"/>
                <w:bCs/>
                <w:sz w:val="18"/>
                <w:szCs w:val="18"/>
              </w:rPr>
            </w:pPr>
            <w:r w:rsidRPr="00BB2634">
              <w:rPr>
                <w:rFonts w:ascii="Arial" w:hAnsi="Arial" w:cs="Arial"/>
                <w:bCs/>
                <w:sz w:val="18"/>
                <w:szCs w:val="18"/>
              </w:rPr>
              <w:t xml:space="preserve">3.1.14 </w:t>
            </w:r>
          </w:p>
        </w:tc>
        <w:tc>
          <w:tcPr>
            <w:tcW w:w="5388" w:type="dxa"/>
            <w:shd w:val="clear" w:color="auto" w:fill="auto"/>
          </w:tcPr>
          <w:p w14:paraId="5EDC3025" w14:textId="181E2BAB" w:rsidR="00631404" w:rsidRPr="00484D19" w:rsidRDefault="00631404"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A warning that the tax legislation of the investor's </w:t>
            </w:r>
            <w:r w:rsidR="00C46B0B">
              <w:rPr>
                <w:rFonts w:ascii="Arial" w:hAnsi="Arial" w:cs="Arial"/>
                <w:sz w:val="18"/>
                <w:szCs w:val="18"/>
              </w:rPr>
              <w:t xml:space="preserve">home country </w:t>
            </w:r>
            <w:r w:rsidRPr="00484D19">
              <w:rPr>
                <w:rFonts w:ascii="Arial" w:eastAsiaTheme="minorHAnsi" w:hAnsi="Arial" w:cs="Arial"/>
                <w:color w:val="000000"/>
                <w:sz w:val="18"/>
                <w:szCs w:val="18"/>
                <w:lang w:eastAsia="en-US"/>
              </w:rPr>
              <w:t xml:space="preserve">and of the issuer's country of incorporation may have an impact on the income received from the securities. </w:t>
            </w:r>
          </w:p>
          <w:p w14:paraId="3FA1311D" w14:textId="402FF6EC" w:rsidR="00631404" w:rsidRPr="00484D19" w:rsidRDefault="00631404" w:rsidP="00255963">
            <w:pPr>
              <w:pStyle w:val="Default"/>
              <w:spacing w:after="120"/>
              <w:rPr>
                <w:rFonts w:ascii="Arial" w:hAnsi="Arial" w:cs="Arial"/>
                <w:color w:val="auto"/>
                <w:sz w:val="18"/>
                <w:szCs w:val="18"/>
              </w:rPr>
            </w:pPr>
            <w:r w:rsidRPr="00484D19">
              <w:rPr>
                <w:rFonts w:ascii="Arial" w:hAnsi="Arial" w:cs="Arial"/>
                <w:sz w:val="18"/>
                <w:szCs w:val="18"/>
              </w:rPr>
              <w:t xml:space="preserve">Information on the taxation treatment of the securities where the proposed investment attracts a tax regime specific to that type of investment. </w:t>
            </w:r>
          </w:p>
        </w:tc>
        <w:tc>
          <w:tcPr>
            <w:tcW w:w="1275" w:type="dxa"/>
          </w:tcPr>
          <w:p w14:paraId="25E5F1E4" w14:textId="0B20A2C4" w:rsidR="00631404" w:rsidRPr="00484D19" w:rsidRDefault="00631404" w:rsidP="00255963">
            <w:pPr>
              <w:autoSpaceDE w:val="0"/>
              <w:autoSpaceDN w:val="0"/>
              <w:adjustRightInd w:val="0"/>
              <w:spacing w:after="120"/>
              <w:rPr>
                <w:rFonts w:ascii="Arial" w:hAnsi="Arial" w:cs="Arial"/>
                <w:sz w:val="18"/>
                <w:szCs w:val="18"/>
              </w:rPr>
            </w:pPr>
            <w:r w:rsidRPr="00484D19">
              <w:rPr>
                <w:rFonts w:ascii="Arial" w:eastAsiaTheme="minorHAnsi" w:hAnsi="Arial" w:cs="Arial"/>
                <w:color w:val="000000"/>
                <w:sz w:val="18"/>
                <w:szCs w:val="18"/>
                <w:lang w:eastAsia="en-US"/>
              </w:rPr>
              <w:t xml:space="preserve">Category A </w:t>
            </w:r>
          </w:p>
        </w:tc>
        <w:tc>
          <w:tcPr>
            <w:tcW w:w="709" w:type="dxa"/>
            <w:shd w:val="clear" w:color="auto" w:fill="auto"/>
          </w:tcPr>
          <w:p w14:paraId="017D6ED4"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4117AEE"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6DA5D3FA"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r>
      <w:tr w:rsidR="00631404" w:rsidRPr="00484D19" w14:paraId="333B0276" w14:textId="77777777" w:rsidTr="00255963">
        <w:trPr>
          <w:trHeight w:val="383"/>
        </w:trPr>
        <w:tc>
          <w:tcPr>
            <w:tcW w:w="566" w:type="dxa"/>
            <w:shd w:val="clear" w:color="auto" w:fill="auto"/>
          </w:tcPr>
          <w:p w14:paraId="5C8CF340" w14:textId="4E08ED8F" w:rsidR="00631404" w:rsidRPr="00BB2634" w:rsidRDefault="00631404" w:rsidP="00AB5CD8">
            <w:pPr>
              <w:pStyle w:val="Default"/>
              <w:spacing w:after="60"/>
              <w:rPr>
                <w:rFonts w:ascii="Arial" w:hAnsi="Arial" w:cs="Arial"/>
                <w:bCs/>
                <w:sz w:val="18"/>
                <w:szCs w:val="18"/>
              </w:rPr>
            </w:pPr>
            <w:r w:rsidRPr="00BB2634">
              <w:rPr>
                <w:rFonts w:ascii="Arial" w:hAnsi="Arial" w:cs="Arial"/>
                <w:bCs/>
                <w:sz w:val="18"/>
                <w:szCs w:val="18"/>
              </w:rPr>
              <w:t xml:space="preserve">3.1.15 </w:t>
            </w:r>
          </w:p>
        </w:tc>
        <w:tc>
          <w:tcPr>
            <w:tcW w:w="5388" w:type="dxa"/>
            <w:shd w:val="clear" w:color="auto" w:fill="auto"/>
          </w:tcPr>
          <w:p w14:paraId="265CD264" w14:textId="3686DBF9" w:rsidR="00631404" w:rsidRPr="00484D19" w:rsidRDefault="00631404"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If different from the issuer, the identity and contact details of the offeror of the securities and/or the person asking for admission to trading, including the legal entity identifier (‘LEI’) where the offeror has legal personality. </w:t>
            </w:r>
          </w:p>
        </w:tc>
        <w:tc>
          <w:tcPr>
            <w:tcW w:w="1275" w:type="dxa"/>
          </w:tcPr>
          <w:p w14:paraId="52000EA2" w14:textId="6EB1A224" w:rsidR="00631404" w:rsidRPr="00484D19" w:rsidRDefault="00631404"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Category C </w:t>
            </w:r>
          </w:p>
        </w:tc>
        <w:tc>
          <w:tcPr>
            <w:tcW w:w="709" w:type="dxa"/>
            <w:shd w:val="clear" w:color="auto" w:fill="auto"/>
          </w:tcPr>
          <w:p w14:paraId="673E418E"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A65C338"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CFF24FF" w14:textId="77777777" w:rsidR="00631404" w:rsidRPr="00484D19" w:rsidRDefault="00631404" w:rsidP="00AB5CD8">
            <w:pPr>
              <w:autoSpaceDE w:val="0"/>
              <w:autoSpaceDN w:val="0"/>
              <w:adjustRightInd w:val="0"/>
              <w:spacing w:after="60"/>
              <w:rPr>
                <w:rFonts w:ascii="Arial" w:eastAsiaTheme="minorHAnsi" w:hAnsi="Arial" w:cs="Arial"/>
                <w:bCs/>
                <w:sz w:val="18"/>
                <w:szCs w:val="18"/>
                <w:lang w:eastAsia="en-US"/>
              </w:rPr>
            </w:pPr>
          </w:p>
        </w:tc>
      </w:tr>
      <w:tr w:rsidR="00EB322B" w:rsidRPr="00484D19" w14:paraId="14859190" w14:textId="77777777" w:rsidTr="00255963">
        <w:trPr>
          <w:trHeight w:val="383"/>
        </w:trPr>
        <w:tc>
          <w:tcPr>
            <w:tcW w:w="566" w:type="dxa"/>
            <w:shd w:val="clear" w:color="auto" w:fill="auto"/>
          </w:tcPr>
          <w:p w14:paraId="29C004DB" w14:textId="5B36EAC0" w:rsidR="00EB322B" w:rsidRPr="00BB2634" w:rsidRDefault="00EB322B" w:rsidP="00AB5CD8">
            <w:pPr>
              <w:pStyle w:val="Default"/>
              <w:spacing w:after="60"/>
              <w:rPr>
                <w:rFonts w:ascii="Arial" w:hAnsi="Arial" w:cs="Arial"/>
                <w:bCs/>
                <w:sz w:val="18"/>
                <w:szCs w:val="18"/>
              </w:rPr>
            </w:pPr>
            <w:r w:rsidRPr="00BB2634">
              <w:rPr>
                <w:rFonts w:ascii="Arial" w:hAnsi="Arial" w:cs="Arial"/>
                <w:bCs/>
                <w:sz w:val="18"/>
                <w:szCs w:val="18"/>
              </w:rPr>
              <w:t xml:space="preserve">3.1.16 </w:t>
            </w:r>
          </w:p>
        </w:tc>
        <w:tc>
          <w:tcPr>
            <w:tcW w:w="5388" w:type="dxa"/>
            <w:shd w:val="clear" w:color="auto" w:fill="auto"/>
          </w:tcPr>
          <w:p w14:paraId="46871595" w14:textId="763C95A7"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Where applicable, the potential impact on the investment in the event of resolution under </w:t>
            </w:r>
            <w:r w:rsidR="00C46B0B">
              <w:rPr>
                <w:rFonts w:ascii="Arial" w:hAnsi="Arial" w:cs="Arial"/>
                <w:sz w:val="18"/>
                <w:szCs w:val="18"/>
              </w:rPr>
              <w:t xml:space="preserve">the UK law which implemented </w:t>
            </w:r>
            <w:r w:rsidRPr="00484D19">
              <w:rPr>
                <w:rFonts w:ascii="Arial" w:eastAsiaTheme="minorHAnsi" w:hAnsi="Arial" w:cs="Arial"/>
                <w:color w:val="000000"/>
                <w:sz w:val="18"/>
                <w:szCs w:val="18"/>
                <w:lang w:eastAsia="en-US"/>
              </w:rPr>
              <w:t xml:space="preserve">Directive 2014/59/EU. </w:t>
            </w:r>
          </w:p>
        </w:tc>
        <w:tc>
          <w:tcPr>
            <w:tcW w:w="1275" w:type="dxa"/>
          </w:tcPr>
          <w:p w14:paraId="4753CEAB" w14:textId="77777777"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p>
        </w:tc>
        <w:tc>
          <w:tcPr>
            <w:tcW w:w="709" w:type="dxa"/>
            <w:shd w:val="clear" w:color="auto" w:fill="auto"/>
          </w:tcPr>
          <w:p w14:paraId="752C5248"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05D7E08"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5DB8C5B5"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r>
      <w:tr w:rsidR="009D2F87" w:rsidRPr="00484D19" w14:paraId="689DA02E" w14:textId="77777777" w:rsidTr="00255963">
        <w:trPr>
          <w:trHeight w:val="383"/>
        </w:trPr>
        <w:tc>
          <w:tcPr>
            <w:tcW w:w="566" w:type="dxa"/>
            <w:shd w:val="clear" w:color="auto" w:fill="auto"/>
          </w:tcPr>
          <w:p w14:paraId="7BE2E775" w14:textId="51716FBD" w:rsidR="009D2F87" w:rsidRPr="00BB2634" w:rsidRDefault="009D2F87" w:rsidP="00AB5CD8">
            <w:pPr>
              <w:pStyle w:val="Default"/>
              <w:spacing w:after="60"/>
              <w:rPr>
                <w:rFonts w:ascii="Arial" w:hAnsi="Arial" w:cs="Arial"/>
                <w:bCs/>
                <w:sz w:val="18"/>
                <w:szCs w:val="18"/>
              </w:rPr>
            </w:pPr>
            <w:r w:rsidRPr="00BB2634">
              <w:rPr>
                <w:rFonts w:ascii="Arial" w:hAnsi="Arial" w:cs="Arial"/>
                <w:bCs/>
                <w:sz w:val="18"/>
                <w:szCs w:val="18"/>
              </w:rPr>
              <w:t>3.2</w:t>
            </w:r>
          </w:p>
        </w:tc>
        <w:tc>
          <w:tcPr>
            <w:tcW w:w="5388" w:type="dxa"/>
            <w:shd w:val="clear" w:color="auto" w:fill="auto"/>
          </w:tcPr>
          <w:p w14:paraId="65BA2E5B" w14:textId="77777777" w:rsidR="009D2F87" w:rsidRPr="009D2F87" w:rsidRDefault="009D2F87" w:rsidP="00255963">
            <w:pPr>
              <w:autoSpaceDE w:val="0"/>
              <w:autoSpaceDN w:val="0"/>
              <w:adjustRightInd w:val="0"/>
              <w:spacing w:after="120"/>
              <w:rPr>
                <w:rFonts w:ascii="Arial" w:eastAsiaTheme="minorHAnsi" w:hAnsi="Arial" w:cs="Arial"/>
                <w:color w:val="000000"/>
                <w:sz w:val="18"/>
                <w:szCs w:val="18"/>
                <w:lang w:eastAsia="en-US"/>
              </w:rPr>
            </w:pPr>
            <w:r w:rsidRPr="009D2F87">
              <w:rPr>
                <w:rFonts w:ascii="Arial" w:eastAsiaTheme="minorHAnsi" w:hAnsi="Arial" w:cs="Arial"/>
                <w:color w:val="000000"/>
                <w:sz w:val="18"/>
                <w:szCs w:val="18"/>
                <w:lang w:eastAsia="en-US"/>
              </w:rPr>
              <w:t>Information on derivative securities</w:t>
            </w:r>
          </w:p>
          <w:p w14:paraId="329158BD" w14:textId="77777777" w:rsidR="009D2F87" w:rsidRPr="009D2F87" w:rsidRDefault="009D2F87" w:rsidP="00255963">
            <w:pPr>
              <w:autoSpaceDE w:val="0"/>
              <w:autoSpaceDN w:val="0"/>
              <w:adjustRightInd w:val="0"/>
              <w:spacing w:after="120"/>
              <w:rPr>
                <w:rFonts w:ascii="Arial" w:eastAsiaTheme="minorHAnsi" w:hAnsi="Arial" w:cs="Arial"/>
                <w:color w:val="000000"/>
                <w:sz w:val="18"/>
                <w:szCs w:val="18"/>
                <w:lang w:eastAsia="en-US"/>
              </w:rPr>
            </w:pPr>
            <w:r w:rsidRPr="009D2F87">
              <w:rPr>
                <w:rFonts w:ascii="Arial" w:eastAsiaTheme="minorHAnsi" w:hAnsi="Arial" w:cs="Arial"/>
                <w:color w:val="000000"/>
                <w:sz w:val="18"/>
                <w:szCs w:val="18"/>
                <w:lang w:eastAsia="en-US"/>
              </w:rPr>
              <w:t>In the case of issuance of derivative securities, the following information:</w:t>
            </w:r>
          </w:p>
          <w:p w14:paraId="0D0611EC" w14:textId="06E79E2B" w:rsidR="009D2F87" w:rsidRPr="00207400" w:rsidRDefault="009D2F87" w:rsidP="00255963">
            <w:pPr>
              <w:pStyle w:val="ListParagraph"/>
              <w:numPr>
                <w:ilvl w:val="0"/>
                <w:numId w:val="31"/>
              </w:numPr>
              <w:autoSpaceDE w:val="0"/>
              <w:autoSpaceDN w:val="0"/>
              <w:adjustRightInd w:val="0"/>
              <w:spacing w:after="120"/>
              <w:rPr>
                <w:rFonts w:ascii="Arial" w:eastAsiaTheme="minorHAnsi" w:hAnsi="Arial" w:cs="Arial"/>
                <w:color w:val="000000"/>
                <w:sz w:val="18"/>
                <w:szCs w:val="18"/>
                <w:lang w:eastAsia="en-US"/>
              </w:rPr>
            </w:pPr>
            <w:r w:rsidRPr="00207400">
              <w:rPr>
                <w:rFonts w:ascii="Arial" w:eastAsiaTheme="minorHAnsi" w:hAnsi="Arial" w:cs="Arial"/>
                <w:color w:val="000000"/>
                <w:sz w:val="18"/>
                <w:szCs w:val="18"/>
                <w:lang w:eastAsia="en-US"/>
              </w:rPr>
              <w:t>for derivative securities referred to in Article 20(1), the information referred to in that paragraph;</w:t>
            </w:r>
          </w:p>
          <w:p w14:paraId="3CEA343F" w14:textId="69C0203C" w:rsidR="009D2F87" w:rsidRPr="00207400" w:rsidRDefault="009D2F87" w:rsidP="00255963">
            <w:pPr>
              <w:pStyle w:val="ListParagraph"/>
              <w:numPr>
                <w:ilvl w:val="0"/>
                <w:numId w:val="31"/>
              </w:numPr>
              <w:autoSpaceDE w:val="0"/>
              <w:autoSpaceDN w:val="0"/>
              <w:adjustRightInd w:val="0"/>
              <w:spacing w:after="120"/>
              <w:rPr>
                <w:rFonts w:ascii="Arial" w:eastAsiaTheme="minorHAnsi" w:hAnsi="Arial" w:cs="Arial"/>
                <w:color w:val="000000"/>
                <w:sz w:val="18"/>
                <w:szCs w:val="18"/>
                <w:lang w:eastAsia="en-US"/>
              </w:rPr>
            </w:pPr>
            <w:r w:rsidRPr="00207400">
              <w:rPr>
                <w:rFonts w:ascii="Arial" w:eastAsiaTheme="minorHAnsi" w:hAnsi="Arial" w:cs="Arial"/>
                <w:color w:val="000000"/>
                <w:sz w:val="18"/>
                <w:szCs w:val="18"/>
                <w:lang w:eastAsia="en-US"/>
              </w:rPr>
              <w:t>for derivative securities referred to in Article 20(2), the information referred to in that paragraph;</w:t>
            </w:r>
          </w:p>
          <w:p w14:paraId="4AD66266" w14:textId="67EFCC35" w:rsidR="009D2F87" w:rsidRPr="00207400" w:rsidRDefault="009D2F87" w:rsidP="00255963">
            <w:pPr>
              <w:pStyle w:val="ListParagraph"/>
              <w:numPr>
                <w:ilvl w:val="0"/>
                <w:numId w:val="31"/>
              </w:numPr>
              <w:autoSpaceDE w:val="0"/>
              <w:autoSpaceDN w:val="0"/>
              <w:adjustRightInd w:val="0"/>
              <w:spacing w:after="120"/>
              <w:rPr>
                <w:rFonts w:ascii="Arial" w:eastAsiaTheme="minorHAnsi" w:hAnsi="Arial" w:cs="Arial"/>
                <w:color w:val="000000"/>
                <w:sz w:val="18"/>
                <w:szCs w:val="18"/>
                <w:lang w:eastAsia="en-US"/>
              </w:rPr>
            </w:pPr>
            <w:r w:rsidRPr="00207400">
              <w:rPr>
                <w:rFonts w:ascii="Arial" w:eastAsiaTheme="minorHAnsi" w:hAnsi="Arial" w:cs="Arial"/>
                <w:color w:val="000000"/>
                <w:sz w:val="18"/>
                <w:szCs w:val="18"/>
                <w:lang w:eastAsia="en-US"/>
              </w:rPr>
              <w:t>for derivative securities referred to in Article 20(3), the information referred to in that paragraph.</w:t>
            </w:r>
          </w:p>
        </w:tc>
        <w:tc>
          <w:tcPr>
            <w:tcW w:w="1275" w:type="dxa"/>
          </w:tcPr>
          <w:p w14:paraId="1D89B64D" w14:textId="77777777" w:rsidR="009D2F87" w:rsidRPr="00484D19" w:rsidRDefault="009D2F87" w:rsidP="00255963">
            <w:pPr>
              <w:autoSpaceDE w:val="0"/>
              <w:autoSpaceDN w:val="0"/>
              <w:adjustRightInd w:val="0"/>
              <w:spacing w:after="120"/>
              <w:rPr>
                <w:rFonts w:ascii="Arial" w:eastAsiaTheme="minorHAnsi" w:hAnsi="Arial" w:cs="Arial"/>
                <w:color w:val="000000"/>
                <w:sz w:val="18"/>
                <w:szCs w:val="18"/>
                <w:lang w:eastAsia="en-US"/>
              </w:rPr>
            </w:pPr>
          </w:p>
        </w:tc>
        <w:tc>
          <w:tcPr>
            <w:tcW w:w="709" w:type="dxa"/>
            <w:shd w:val="clear" w:color="auto" w:fill="auto"/>
          </w:tcPr>
          <w:p w14:paraId="47237A3E"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715874C"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4FF4423B"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r>
      <w:tr w:rsidR="003A2132" w:rsidRPr="00484D19" w14:paraId="29C754C3" w14:textId="77777777" w:rsidTr="00255963">
        <w:trPr>
          <w:trHeight w:val="383"/>
        </w:trPr>
        <w:tc>
          <w:tcPr>
            <w:tcW w:w="566" w:type="dxa"/>
            <w:shd w:val="clear" w:color="auto" w:fill="auto"/>
          </w:tcPr>
          <w:p w14:paraId="23E678CA" w14:textId="43242100" w:rsidR="003A2132" w:rsidRPr="00BB2634" w:rsidRDefault="003A2132" w:rsidP="00AB5CD8">
            <w:pPr>
              <w:pStyle w:val="Default"/>
              <w:spacing w:after="60"/>
              <w:rPr>
                <w:rFonts w:ascii="Arial" w:hAnsi="Arial" w:cs="Arial"/>
                <w:bCs/>
                <w:sz w:val="18"/>
                <w:szCs w:val="18"/>
              </w:rPr>
            </w:pPr>
            <w:r w:rsidRPr="00BB2634">
              <w:rPr>
                <w:rFonts w:ascii="Arial" w:hAnsi="Arial" w:cs="Arial"/>
                <w:bCs/>
                <w:sz w:val="18"/>
                <w:szCs w:val="18"/>
              </w:rPr>
              <w:t xml:space="preserve">4 </w:t>
            </w:r>
          </w:p>
        </w:tc>
        <w:tc>
          <w:tcPr>
            <w:tcW w:w="6663" w:type="dxa"/>
            <w:gridSpan w:val="2"/>
            <w:shd w:val="clear" w:color="auto" w:fill="auto"/>
          </w:tcPr>
          <w:p w14:paraId="3DB85AE9" w14:textId="77777777" w:rsidR="003A2132" w:rsidRPr="00484D19" w:rsidRDefault="003A2132"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b/>
                <w:bCs/>
                <w:color w:val="000000"/>
                <w:sz w:val="18"/>
                <w:szCs w:val="18"/>
                <w:lang w:eastAsia="en-US"/>
              </w:rPr>
              <w:t xml:space="preserve">DETAILS OF THE OFFER/ADMISSION TO TRADING </w:t>
            </w:r>
          </w:p>
          <w:p w14:paraId="3A56CBE3" w14:textId="64847CC7" w:rsidR="003A2132" w:rsidRPr="00484D19" w:rsidRDefault="003A2132"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i/>
                <w:iCs/>
                <w:color w:val="000000"/>
                <w:sz w:val="18"/>
                <w:szCs w:val="18"/>
                <w:lang w:eastAsia="en-US"/>
              </w:rPr>
              <w:t xml:space="preserve">The purpose of this section is to set out the specific information on the offer of the securities, the plan for their distribution and allotment, an indication of their pricing. Moreover, it presents information on the placing of the securities, any underwriting agreements and arrangements relating to admission to trading. It also sets out information on the persons selling the securities and dilution to existing shareholders. </w:t>
            </w:r>
          </w:p>
        </w:tc>
        <w:tc>
          <w:tcPr>
            <w:tcW w:w="709" w:type="dxa"/>
            <w:shd w:val="clear" w:color="auto" w:fill="auto"/>
          </w:tcPr>
          <w:p w14:paraId="2ED88E05"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4CD2564"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D20436D"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r>
      <w:tr w:rsidR="003A2132" w:rsidRPr="00484D19" w14:paraId="5C461F77" w14:textId="77777777" w:rsidTr="00255963">
        <w:trPr>
          <w:trHeight w:val="383"/>
        </w:trPr>
        <w:tc>
          <w:tcPr>
            <w:tcW w:w="566" w:type="dxa"/>
            <w:shd w:val="clear" w:color="auto" w:fill="auto"/>
          </w:tcPr>
          <w:p w14:paraId="418F200A" w14:textId="6437493A" w:rsidR="003A2132" w:rsidRPr="00BB2634" w:rsidRDefault="003A2132" w:rsidP="00AB5CD8">
            <w:pPr>
              <w:pStyle w:val="Default"/>
              <w:spacing w:after="60"/>
              <w:rPr>
                <w:rFonts w:ascii="Arial" w:hAnsi="Arial" w:cs="Arial"/>
                <w:bCs/>
                <w:sz w:val="18"/>
                <w:szCs w:val="18"/>
              </w:rPr>
            </w:pPr>
            <w:r w:rsidRPr="00BB2634">
              <w:rPr>
                <w:rFonts w:ascii="Arial" w:hAnsi="Arial" w:cs="Arial"/>
                <w:bCs/>
                <w:sz w:val="18"/>
                <w:szCs w:val="18"/>
              </w:rPr>
              <w:t xml:space="preserve">4.1 </w:t>
            </w:r>
          </w:p>
        </w:tc>
        <w:tc>
          <w:tcPr>
            <w:tcW w:w="6663" w:type="dxa"/>
            <w:gridSpan w:val="2"/>
            <w:shd w:val="clear" w:color="auto" w:fill="auto"/>
          </w:tcPr>
          <w:p w14:paraId="2D5F800C" w14:textId="77777777" w:rsidR="003A2132" w:rsidRPr="00484D19" w:rsidRDefault="003A2132"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Terms and conditions of the offer of securities to the public </w:t>
            </w:r>
          </w:p>
          <w:p w14:paraId="168831BE" w14:textId="43C01112" w:rsidR="003A2132" w:rsidRPr="00484D19" w:rsidRDefault="003A2132"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(Conditions, offer statistics, expected timetable and action required to apply for the offer) </w:t>
            </w:r>
          </w:p>
        </w:tc>
        <w:tc>
          <w:tcPr>
            <w:tcW w:w="709" w:type="dxa"/>
            <w:shd w:val="clear" w:color="auto" w:fill="auto"/>
          </w:tcPr>
          <w:p w14:paraId="01E8F887"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19316DA"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62E091CC"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r>
      <w:tr w:rsidR="00EB322B" w:rsidRPr="00484D19" w14:paraId="453CCAA9" w14:textId="77777777" w:rsidTr="00255963">
        <w:trPr>
          <w:trHeight w:val="383"/>
        </w:trPr>
        <w:tc>
          <w:tcPr>
            <w:tcW w:w="566" w:type="dxa"/>
            <w:shd w:val="clear" w:color="auto" w:fill="auto"/>
          </w:tcPr>
          <w:p w14:paraId="0A383D8C" w14:textId="380118FA" w:rsidR="00EB322B" w:rsidRPr="00BB2634" w:rsidRDefault="00EB322B" w:rsidP="00AB5CD8">
            <w:pPr>
              <w:pStyle w:val="Default"/>
              <w:spacing w:after="60"/>
              <w:rPr>
                <w:rFonts w:ascii="Arial" w:hAnsi="Arial" w:cs="Arial"/>
                <w:bCs/>
                <w:sz w:val="18"/>
                <w:szCs w:val="18"/>
              </w:rPr>
            </w:pPr>
            <w:r w:rsidRPr="00BB2634">
              <w:rPr>
                <w:rFonts w:ascii="Arial" w:hAnsi="Arial" w:cs="Arial"/>
                <w:bCs/>
                <w:sz w:val="18"/>
                <w:szCs w:val="18"/>
              </w:rPr>
              <w:t xml:space="preserve">4.1.1 </w:t>
            </w:r>
          </w:p>
        </w:tc>
        <w:tc>
          <w:tcPr>
            <w:tcW w:w="5388" w:type="dxa"/>
            <w:shd w:val="clear" w:color="auto" w:fill="auto"/>
          </w:tcPr>
          <w:p w14:paraId="2A9DC787" w14:textId="315567BA"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Conditions to which the offer is subject </w:t>
            </w:r>
          </w:p>
        </w:tc>
        <w:tc>
          <w:tcPr>
            <w:tcW w:w="1275" w:type="dxa"/>
          </w:tcPr>
          <w:p w14:paraId="01FC4B35" w14:textId="34790A2F"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Category C </w:t>
            </w:r>
          </w:p>
        </w:tc>
        <w:tc>
          <w:tcPr>
            <w:tcW w:w="709" w:type="dxa"/>
            <w:shd w:val="clear" w:color="auto" w:fill="auto"/>
          </w:tcPr>
          <w:p w14:paraId="46DDD678"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7798580"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1C034A0E"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r>
      <w:tr w:rsidR="00EB322B" w:rsidRPr="00484D19" w14:paraId="0034B96F" w14:textId="77777777" w:rsidTr="00255963">
        <w:trPr>
          <w:trHeight w:val="383"/>
        </w:trPr>
        <w:tc>
          <w:tcPr>
            <w:tcW w:w="566" w:type="dxa"/>
            <w:shd w:val="clear" w:color="auto" w:fill="auto"/>
          </w:tcPr>
          <w:p w14:paraId="5C02AAE1" w14:textId="1D27FFAC" w:rsidR="00EB322B" w:rsidRPr="00BB2634" w:rsidRDefault="00EB322B" w:rsidP="00AB5CD8">
            <w:pPr>
              <w:pStyle w:val="Default"/>
              <w:spacing w:after="60"/>
              <w:rPr>
                <w:rFonts w:ascii="Arial" w:hAnsi="Arial" w:cs="Arial"/>
                <w:bCs/>
                <w:sz w:val="18"/>
                <w:szCs w:val="18"/>
              </w:rPr>
            </w:pPr>
            <w:r w:rsidRPr="00BB2634">
              <w:rPr>
                <w:rFonts w:ascii="Arial" w:hAnsi="Arial" w:cs="Arial"/>
                <w:bCs/>
                <w:sz w:val="18"/>
                <w:szCs w:val="18"/>
              </w:rPr>
              <w:t xml:space="preserve">4.1.2 </w:t>
            </w:r>
          </w:p>
        </w:tc>
        <w:tc>
          <w:tcPr>
            <w:tcW w:w="5388" w:type="dxa"/>
            <w:shd w:val="clear" w:color="auto" w:fill="auto"/>
          </w:tcPr>
          <w:p w14:paraId="6BE5E295" w14:textId="77777777"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Total amount of the securities offered to the public. If the amount is not fixed, an indication of the maximum amount of the securities to be offered (if available) and a description of the arrangements and the time period for announcing to the public the definitive amount of the offer. </w:t>
            </w:r>
          </w:p>
          <w:p w14:paraId="6D627332" w14:textId="6D3252AE"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Where the maximum </w:t>
            </w:r>
            <w:proofErr w:type="gramStart"/>
            <w:r w:rsidRPr="00484D19">
              <w:rPr>
                <w:rFonts w:ascii="Arial" w:eastAsiaTheme="minorHAnsi" w:hAnsi="Arial" w:cs="Arial"/>
                <w:color w:val="000000"/>
                <w:sz w:val="18"/>
                <w:szCs w:val="18"/>
                <w:lang w:eastAsia="en-US"/>
              </w:rPr>
              <w:t>amount</w:t>
            </w:r>
            <w:proofErr w:type="gramEnd"/>
            <w:r w:rsidRPr="00484D19">
              <w:rPr>
                <w:rFonts w:ascii="Arial" w:eastAsiaTheme="minorHAnsi" w:hAnsi="Arial" w:cs="Arial"/>
                <w:color w:val="000000"/>
                <w:sz w:val="18"/>
                <w:szCs w:val="18"/>
                <w:lang w:eastAsia="en-US"/>
              </w:rPr>
              <w:t xml:space="preserve"> of securities to be offered cannot be provided in the prospectus, the prospectus shall specify that acceptances of the purchase of subscription of securities may be withdrawn for not less than two working days after the amount of securities to be offered to the public has been filed. </w:t>
            </w:r>
          </w:p>
        </w:tc>
        <w:tc>
          <w:tcPr>
            <w:tcW w:w="1275" w:type="dxa"/>
          </w:tcPr>
          <w:p w14:paraId="74EA2FDC" w14:textId="3E9AD46C"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Category C </w:t>
            </w:r>
          </w:p>
        </w:tc>
        <w:tc>
          <w:tcPr>
            <w:tcW w:w="709" w:type="dxa"/>
            <w:shd w:val="clear" w:color="auto" w:fill="auto"/>
          </w:tcPr>
          <w:p w14:paraId="573AFDF0"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D2CB323"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6E0FC1E"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r>
      <w:tr w:rsidR="00EB322B" w:rsidRPr="00484D19" w14:paraId="2AAF106C" w14:textId="77777777" w:rsidTr="00255963">
        <w:trPr>
          <w:trHeight w:val="383"/>
        </w:trPr>
        <w:tc>
          <w:tcPr>
            <w:tcW w:w="566" w:type="dxa"/>
            <w:shd w:val="clear" w:color="auto" w:fill="auto"/>
          </w:tcPr>
          <w:p w14:paraId="134144E1" w14:textId="22881C96" w:rsidR="00EB322B" w:rsidRPr="00BB2634" w:rsidRDefault="00EB322B" w:rsidP="00AB5CD8">
            <w:pPr>
              <w:pStyle w:val="Default"/>
              <w:spacing w:after="60"/>
              <w:rPr>
                <w:rFonts w:ascii="Arial" w:hAnsi="Arial" w:cs="Arial"/>
                <w:bCs/>
                <w:sz w:val="18"/>
                <w:szCs w:val="18"/>
              </w:rPr>
            </w:pPr>
            <w:r w:rsidRPr="00BB2634">
              <w:rPr>
                <w:rFonts w:ascii="Arial" w:hAnsi="Arial" w:cs="Arial"/>
                <w:bCs/>
                <w:sz w:val="18"/>
                <w:szCs w:val="18"/>
              </w:rPr>
              <w:t xml:space="preserve">4.1.3 </w:t>
            </w:r>
          </w:p>
        </w:tc>
        <w:tc>
          <w:tcPr>
            <w:tcW w:w="5388" w:type="dxa"/>
            <w:shd w:val="clear" w:color="auto" w:fill="auto"/>
          </w:tcPr>
          <w:p w14:paraId="49FC1E04" w14:textId="08FE802A"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The time period, including any possible amendments, during which the offer will be open and description of the application process.</w:t>
            </w:r>
          </w:p>
        </w:tc>
        <w:tc>
          <w:tcPr>
            <w:tcW w:w="1275" w:type="dxa"/>
          </w:tcPr>
          <w:p w14:paraId="681854B8" w14:textId="26877B10"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eastAsiaTheme="minorHAnsi" w:hAnsi="Arial" w:cs="Arial"/>
                <w:color w:val="000000"/>
                <w:sz w:val="18"/>
                <w:szCs w:val="18"/>
                <w:lang w:eastAsia="en-US"/>
              </w:rPr>
              <w:t xml:space="preserve">Category C </w:t>
            </w:r>
          </w:p>
        </w:tc>
        <w:tc>
          <w:tcPr>
            <w:tcW w:w="709" w:type="dxa"/>
            <w:shd w:val="clear" w:color="auto" w:fill="auto"/>
          </w:tcPr>
          <w:p w14:paraId="08770BCF"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A0CCC6E"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80B75B2"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r>
      <w:tr w:rsidR="00EB322B" w:rsidRPr="00484D19" w14:paraId="2F70264C" w14:textId="77777777" w:rsidTr="00255963">
        <w:trPr>
          <w:trHeight w:val="383"/>
        </w:trPr>
        <w:tc>
          <w:tcPr>
            <w:tcW w:w="566" w:type="dxa"/>
            <w:shd w:val="clear" w:color="auto" w:fill="auto"/>
          </w:tcPr>
          <w:p w14:paraId="725D3BA3" w14:textId="5ABD7BAF" w:rsidR="00EB322B" w:rsidRPr="00BB2634" w:rsidRDefault="00EB322B" w:rsidP="00AB5CD8">
            <w:pPr>
              <w:pStyle w:val="Default"/>
              <w:spacing w:after="60"/>
              <w:rPr>
                <w:rFonts w:ascii="Arial" w:hAnsi="Arial" w:cs="Arial"/>
                <w:bCs/>
                <w:sz w:val="18"/>
                <w:szCs w:val="18"/>
              </w:rPr>
            </w:pPr>
            <w:r w:rsidRPr="00BB2634">
              <w:rPr>
                <w:rFonts w:ascii="Arial" w:hAnsi="Arial" w:cs="Arial"/>
                <w:bCs/>
                <w:sz w:val="18"/>
                <w:szCs w:val="18"/>
              </w:rPr>
              <w:t xml:space="preserve">4.1.4 </w:t>
            </w:r>
          </w:p>
        </w:tc>
        <w:tc>
          <w:tcPr>
            <w:tcW w:w="5388" w:type="dxa"/>
            <w:shd w:val="clear" w:color="auto" w:fill="auto"/>
          </w:tcPr>
          <w:p w14:paraId="7DC5C75C" w14:textId="409A8D2C"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hAnsi="Arial" w:cs="Arial"/>
                <w:sz w:val="18"/>
                <w:szCs w:val="18"/>
              </w:rPr>
              <w:t xml:space="preserve">A description of any possibility to reduce subscriptions and the manner for refunding amounts paid in excess by applicants. </w:t>
            </w:r>
          </w:p>
        </w:tc>
        <w:tc>
          <w:tcPr>
            <w:tcW w:w="1275" w:type="dxa"/>
          </w:tcPr>
          <w:p w14:paraId="277E0B09" w14:textId="0426AF2C"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hAnsi="Arial" w:cs="Arial"/>
                <w:sz w:val="18"/>
                <w:szCs w:val="18"/>
              </w:rPr>
              <w:t xml:space="preserve">Category C </w:t>
            </w:r>
          </w:p>
        </w:tc>
        <w:tc>
          <w:tcPr>
            <w:tcW w:w="709" w:type="dxa"/>
            <w:shd w:val="clear" w:color="auto" w:fill="auto"/>
          </w:tcPr>
          <w:p w14:paraId="297A206D"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D3ACC5D"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63BEF2A9"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r>
      <w:tr w:rsidR="00EB322B" w:rsidRPr="00484D19" w14:paraId="2614FDE3" w14:textId="77777777" w:rsidTr="00255963">
        <w:trPr>
          <w:trHeight w:val="383"/>
        </w:trPr>
        <w:tc>
          <w:tcPr>
            <w:tcW w:w="566" w:type="dxa"/>
            <w:shd w:val="clear" w:color="auto" w:fill="auto"/>
          </w:tcPr>
          <w:p w14:paraId="58CBB492" w14:textId="323ED692" w:rsidR="00EB322B" w:rsidRPr="00BB2634" w:rsidRDefault="00EB322B" w:rsidP="00AB5CD8">
            <w:pPr>
              <w:pStyle w:val="Default"/>
              <w:spacing w:after="60"/>
              <w:rPr>
                <w:rFonts w:ascii="Arial" w:hAnsi="Arial" w:cs="Arial"/>
                <w:bCs/>
                <w:sz w:val="18"/>
                <w:szCs w:val="18"/>
              </w:rPr>
            </w:pPr>
            <w:r w:rsidRPr="00BB2634">
              <w:rPr>
                <w:rFonts w:ascii="Arial" w:hAnsi="Arial" w:cs="Arial"/>
                <w:bCs/>
                <w:sz w:val="18"/>
                <w:szCs w:val="18"/>
              </w:rPr>
              <w:t xml:space="preserve">4.1.5 </w:t>
            </w:r>
          </w:p>
        </w:tc>
        <w:tc>
          <w:tcPr>
            <w:tcW w:w="5388" w:type="dxa"/>
            <w:shd w:val="clear" w:color="auto" w:fill="auto"/>
          </w:tcPr>
          <w:p w14:paraId="19DB3270" w14:textId="32AF7134"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hAnsi="Arial" w:cs="Arial"/>
                <w:sz w:val="18"/>
                <w:szCs w:val="18"/>
              </w:rPr>
              <w:t xml:space="preserve">Details of the minimum and/or maximum amount of application (whether in number of securities or aggregate amount to invest). </w:t>
            </w:r>
          </w:p>
        </w:tc>
        <w:tc>
          <w:tcPr>
            <w:tcW w:w="1275" w:type="dxa"/>
          </w:tcPr>
          <w:p w14:paraId="092AADA9" w14:textId="0F96957C" w:rsidR="00EB322B" w:rsidRPr="00484D19" w:rsidRDefault="00EB322B" w:rsidP="00255963">
            <w:pPr>
              <w:autoSpaceDE w:val="0"/>
              <w:autoSpaceDN w:val="0"/>
              <w:adjustRightInd w:val="0"/>
              <w:spacing w:after="120"/>
              <w:rPr>
                <w:rFonts w:ascii="Arial" w:eastAsiaTheme="minorHAnsi" w:hAnsi="Arial" w:cs="Arial"/>
                <w:color w:val="000000"/>
                <w:sz w:val="18"/>
                <w:szCs w:val="18"/>
                <w:lang w:eastAsia="en-US"/>
              </w:rPr>
            </w:pPr>
            <w:r w:rsidRPr="00484D19">
              <w:rPr>
                <w:rFonts w:ascii="Arial" w:hAnsi="Arial" w:cs="Arial"/>
                <w:sz w:val="18"/>
                <w:szCs w:val="18"/>
              </w:rPr>
              <w:t xml:space="preserve">Category C </w:t>
            </w:r>
          </w:p>
        </w:tc>
        <w:tc>
          <w:tcPr>
            <w:tcW w:w="709" w:type="dxa"/>
            <w:shd w:val="clear" w:color="auto" w:fill="auto"/>
          </w:tcPr>
          <w:p w14:paraId="4554DDFF"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3D562EA"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C409EB3"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r>
      <w:tr w:rsidR="00EB322B" w:rsidRPr="00484D19" w14:paraId="04D55CC5" w14:textId="77777777" w:rsidTr="00255963">
        <w:trPr>
          <w:trHeight w:val="383"/>
        </w:trPr>
        <w:tc>
          <w:tcPr>
            <w:tcW w:w="566" w:type="dxa"/>
            <w:shd w:val="clear" w:color="auto" w:fill="auto"/>
          </w:tcPr>
          <w:p w14:paraId="52D21B42" w14:textId="2FBA6B64" w:rsidR="00EB322B" w:rsidRPr="00BB2634" w:rsidRDefault="00EB322B" w:rsidP="00AB5CD8">
            <w:pPr>
              <w:pStyle w:val="Default"/>
              <w:spacing w:after="60"/>
              <w:rPr>
                <w:rFonts w:ascii="Arial" w:hAnsi="Arial" w:cs="Arial"/>
                <w:bCs/>
                <w:sz w:val="18"/>
                <w:szCs w:val="18"/>
              </w:rPr>
            </w:pPr>
            <w:r w:rsidRPr="00BB2634">
              <w:rPr>
                <w:rFonts w:ascii="Arial" w:hAnsi="Arial" w:cs="Arial"/>
                <w:bCs/>
                <w:sz w:val="18"/>
                <w:szCs w:val="18"/>
              </w:rPr>
              <w:t xml:space="preserve">4.1.6 </w:t>
            </w:r>
          </w:p>
        </w:tc>
        <w:tc>
          <w:tcPr>
            <w:tcW w:w="5388" w:type="dxa"/>
            <w:shd w:val="clear" w:color="auto" w:fill="auto"/>
          </w:tcPr>
          <w:p w14:paraId="616C98BA" w14:textId="3B361AE2" w:rsidR="00EB322B" w:rsidRPr="00484D19" w:rsidRDefault="00EB322B"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Method and time limits for paying up the securities and for delivery of the securities. </w:t>
            </w:r>
          </w:p>
        </w:tc>
        <w:tc>
          <w:tcPr>
            <w:tcW w:w="1275" w:type="dxa"/>
          </w:tcPr>
          <w:p w14:paraId="1E2C0B0A" w14:textId="25B231E3" w:rsidR="00EB322B" w:rsidRPr="00484D19" w:rsidRDefault="00EB322B"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1AB02E97"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3F813EB"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F212000"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r>
      <w:tr w:rsidR="00EB322B" w:rsidRPr="00484D19" w14:paraId="127292CC" w14:textId="77777777" w:rsidTr="00255963">
        <w:trPr>
          <w:trHeight w:val="383"/>
        </w:trPr>
        <w:tc>
          <w:tcPr>
            <w:tcW w:w="566" w:type="dxa"/>
            <w:shd w:val="clear" w:color="auto" w:fill="auto"/>
          </w:tcPr>
          <w:p w14:paraId="4AF9C40C" w14:textId="1DB6B8B1" w:rsidR="00EB322B" w:rsidRPr="00BB2634" w:rsidRDefault="00EB322B" w:rsidP="00AB5CD8">
            <w:pPr>
              <w:pStyle w:val="Default"/>
              <w:spacing w:after="60"/>
              <w:rPr>
                <w:rFonts w:ascii="Arial" w:hAnsi="Arial" w:cs="Arial"/>
                <w:bCs/>
                <w:sz w:val="18"/>
                <w:szCs w:val="18"/>
              </w:rPr>
            </w:pPr>
            <w:r w:rsidRPr="00BB2634">
              <w:rPr>
                <w:rFonts w:ascii="Arial" w:hAnsi="Arial" w:cs="Arial"/>
                <w:bCs/>
                <w:sz w:val="18"/>
                <w:szCs w:val="18"/>
              </w:rPr>
              <w:t xml:space="preserve">4.1.7 </w:t>
            </w:r>
          </w:p>
        </w:tc>
        <w:tc>
          <w:tcPr>
            <w:tcW w:w="5388" w:type="dxa"/>
            <w:shd w:val="clear" w:color="auto" w:fill="auto"/>
          </w:tcPr>
          <w:p w14:paraId="6AE2DE8B" w14:textId="20A54082" w:rsidR="00EB322B" w:rsidRPr="00484D19" w:rsidRDefault="00EB322B"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A full description of the manner and date in which results of the offer are to be made public. </w:t>
            </w:r>
          </w:p>
        </w:tc>
        <w:tc>
          <w:tcPr>
            <w:tcW w:w="1275" w:type="dxa"/>
          </w:tcPr>
          <w:p w14:paraId="1C8060B3" w14:textId="7EA88ACC" w:rsidR="00EB322B" w:rsidRPr="00484D19" w:rsidRDefault="00EB322B"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040A8394"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266825C"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51A3C2BC"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r>
      <w:tr w:rsidR="00EB322B" w:rsidRPr="00484D19" w14:paraId="087B758F" w14:textId="77777777" w:rsidTr="00255963">
        <w:trPr>
          <w:trHeight w:val="383"/>
        </w:trPr>
        <w:tc>
          <w:tcPr>
            <w:tcW w:w="566" w:type="dxa"/>
            <w:shd w:val="clear" w:color="auto" w:fill="auto"/>
          </w:tcPr>
          <w:p w14:paraId="3F1810BA" w14:textId="05D81E38" w:rsidR="00EB322B" w:rsidRPr="00BB2634" w:rsidRDefault="00EB322B" w:rsidP="00AB5CD8">
            <w:pPr>
              <w:pStyle w:val="Default"/>
              <w:spacing w:after="60"/>
              <w:rPr>
                <w:rFonts w:ascii="Arial" w:hAnsi="Arial" w:cs="Arial"/>
                <w:bCs/>
                <w:sz w:val="18"/>
                <w:szCs w:val="18"/>
              </w:rPr>
            </w:pPr>
            <w:r w:rsidRPr="00BB2634">
              <w:rPr>
                <w:rFonts w:ascii="Arial" w:hAnsi="Arial" w:cs="Arial"/>
                <w:bCs/>
                <w:sz w:val="18"/>
                <w:szCs w:val="18"/>
              </w:rPr>
              <w:t xml:space="preserve">4.1.8 </w:t>
            </w:r>
          </w:p>
        </w:tc>
        <w:tc>
          <w:tcPr>
            <w:tcW w:w="5388" w:type="dxa"/>
            <w:shd w:val="clear" w:color="auto" w:fill="auto"/>
          </w:tcPr>
          <w:p w14:paraId="19469134" w14:textId="473F7947" w:rsidR="00EB322B" w:rsidRPr="00484D19" w:rsidRDefault="00EB322B"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The procedure for the exercise of any right of pre-emption, the negotiability of subscription rights and the treatment of subscription rights not exercised. </w:t>
            </w:r>
          </w:p>
        </w:tc>
        <w:tc>
          <w:tcPr>
            <w:tcW w:w="1275" w:type="dxa"/>
          </w:tcPr>
          <w:p w14:paraId="433D455E" w14:textId="691C6106" w:rsidR="00EB322B" w:rsidRPr="00484D19" w:rsidRDefault="00EB322B"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209AF9F2"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47387BC"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F2B3ACD" w14:textId="77777777" w:rsidR="00EB322B" w:rsidRPr="00484D19" w:rsidRDefault="00EB322B" w:rsidP="00AB5CD8">
            <w:pPr>
              <w:autoSpaceDE w:val="0"/>
              <w:autoSpaceDN w:val="0"/>
              <w:adjustRightInd w:val="0"/>
              <w:spacing w:after="60"/>
              <w:rPr>
                <w:rFonts w:ascii="Arial" w:eastAsiaTheme="minorHAnsi" w:hAnsi="Arial" w:cs="Arial"/>
                <w:bCs/>
                <w:sz w:val="18"/>
                <w:szCs w:val="18"/>
                <w:lang w:eastAsia="en-US"/>
              </w:rPr>
            </w:pPr>
          </w:p>
        </w:tc>
      </w:tr>
      <w:tr w:rsidR="003A2132" w:rsidRPr="00484D19" w14:paraId="7F434D66" w14:textId="77777777" w:rsidTr="00255963">
        <w:trPr>
          <w:trHeight w:val="383"/>
        </w:trPr>
        <w:tc>
          <w:tcPr>
            <w:tcW w:w="566" w:type="dxa"/>
            <w:shd w:val="clear" w:color="auto" w:fill="auto"/>
          </w:tcPr>
          <w:p w14:paraId="56BE7A10" w14:textId="4F0BFB7F" w:rsidR="003A2132" w:rsidRPr="00BB2634" w:rsidRDefault="003A2132" w:rsidP="00AB5CD8">
            <w:pPr>
              <w:pStyle w:val="Default"/>
              <w:spacing w:after="60"/>
              <w:rPr>
                <w:rFonts w:ascii="Arial" w:hAnsi="Arial" w:cs="Arial"/>
                <w:bCs/>
                <w:sz w:val="18"/>
                <w:szCs w:val="18"/>
              </w:rPr>
            </w:pPr>
            <w:r w:rsidRPr="00BB2634">
              <w:rPr>
                <w:rFonts w:ascii="Arial" w:hAnsi="Arial" w:cs="Arial"/>
                <w:bCs/>
                <w:sz w:val="18"/>
                <w:szCs w:val="18"/>
              </w:rPr>
              <w:t xml:space="preserve">4.2 </w:t>
            </w:r>
          </w:p>
        </w:tc>
        <w:tc>
          <w:tcPr>
            <w:tcW w:w="6663" w:type="dxa"/>
            <w:gridSpan w:val="2"/>
            <w:shd w:val="clear" w:color="auto" w:fill="auto"/>
          </w:tcPr>
          <w:p w14:paraId="7375F32D" w14:textId="3C53F6BD" w:rsidR="003A2132" w:rsidRPr="00484D19" w:rsidRDefault="003A2132"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Plan of distribution and allotment </w:t>
            </w:r>
          </w:p>
        </w:tc>
        <w:tc>
          <w:tcPr>
            <w:tcW w:w="709" w:type="dxa"/>
            <w:shd w:val="clear" w:color="auto" w:fill="auto"/>
          </w:tcPr>
          <w:p w14:paraId="0EFEF1B3"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58B0650"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217E244C" w14:textId="77777777" w:rsidR="003A2132" w:rsidRPr="00484D19" w:rsidRDefault="003A2132"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397CC23B" w14:textId="77777777" w:rsidTr="00255963">
        <w:trPr>
          <w:trHeight w:val="383"/>
        </w:trPr>
        <w:tc>
          <w:tcPr>
            <w:tcW w:w="566" w:type="dxa"/>
            <w:shd w:val="clear" w:color="auto" w:fill="auto"/>
          </w:tcPr>
          <w:p w14:paraId="17224A4C" w14:textId="19BC16F9"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4.2.1 </w:t>
            </w:r>
          </w:p>
        </w:tc>
        <w:tc>
          <w:tcPr>
            <w:tcW w:w="5388" w:type="dxa"/>
            <w:shd w:val="clear" w:color="auto" w:fill="auto"/>
          </w:tcPr>
          <w:p w14:paraId="091DB009" w14:textId="77777777" w:rsidR="00C40AB9" w:rsidRPr="00484D19" w:rsidRDefault="00C40AB9" w:rsidP="00255963">
            <w:pPr>
              <w:pStyle w:val="Default"/>
              <w:spacing w:after="120"/>
              <w:rPr>
                <w:rFonts w:ascii="Arial" w:hAnsi="Arial" w:cs="Arial"/>
                <w:sz w:val="18"/>
                <w:szCs w:val="18"/>
              </w:rPr>
            </w:pPr>
            <w:r w:rsidRPr="00484D19">
              <w:rPr>
                <w:rFonts w:ascii="Arial" w:hAnsi="Arial" w:cs="Arial"/>
                <w:sz w:val="18"/>
                <w:szCs w:val="18"/>
              </w:rPr>
              <w:t xml:space="preserve">The various categories of potential investors to which the securities are offered. </w:t>
            </w:r>
          </w:p>
          <w:p w14:paraId="1988F2CB" w14:textId="52F70523"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If the offer is being made simultaneously in the markets of two or more countries and if a tranche has been or is being reserved for certain of these, indicate any such tranche. </w:t>
            </w:r>
          </w:p>
        </w:tc>
        <w:tc>
          <w:tcPr>
            <w:tcW w:w="1275" w:type="dxa"/>
          </w:tcPr>
          <w:p w14:paraId="35D71D87" w14:textId="698CEE92"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18949E56"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88AF800"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2658D8AA"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0E81C635" w14:textId="77777777" w:rsidTr="00255963">
        <w:trPr>
          <w:trHeight w:val="383"/>
        </w:trPr>
        <w:tc>
          <w:tcPr>
            <w:tcW w:w="566" w:type="dxa"/>
            <w:shd w:val="clear" w:color="auto" w:fill="auto"/>
          </w:tcPr>
          <w:p w14:paraId="49592D3B" w14:textId="5FCA0E25"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4.3 </w:t>
            </w:r>
          </w:p>
        </w:tc>
        <w:tc>
          <w:tcPr>
            <w:tcW w:w="5388" w:type="dxa"/>
            <w:shd w:val="clear" w:color="auto" w:fill="auto"/>
          </w:tcPr>
          <w:p w14:paraId="7D290579" w14:textId="21457A0B"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Process for notifying applicants of the amount allotted and an indication whether dealing may begin before notification is made. </w:t>
            </w:r>
          </w:p>
        </w:tc>
        <w:tc>
          <w:tcPr>
            <w:tcW w:w="1275" w:type="dxa"/>
          </w:tcPr>
          <w:p w14:paraId="29C3F961" w14:textId="0167B8F7"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5E42D2FB"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44A4D1BB"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20ED804"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AB5CD8" w:rsidRPr="00484D19" w14:paraId="0C972BC6" w14:textId="77777777" w:rsidTr="00255963">
        <w:trPr>
          <w:trHeight w:val="383"/>
        </w:trPr>
        <w:tc>
          <w:tcPr>
            <w:tcW w:w="566" w:type="dxa"/>
            <w:shd w:val="clear" w:color="auto" w:fill="auto"/>
          </w:tcPr>
          <w:p w14:paraId="227C4B6E" w14:textId="658D8A6A" w:rsidR="00AB5CD8" w:rsidRPr="00BB2634" w:rsidRDefault="00AB5CD8" w:rsidP="00AB5CD8">
            <w:pPr>
              <w:pStyle w:val="Default"/>
              <w:spacing w:after="60"/>
              <w:rPr>
                <w:rFonts w:ascii="Arial" w:hAnsi="Arial" w:cs="Arial"/>
                <w:bCs/>
                <w:sz w:val="18"/>
                <w:szCs w:val="18"/>
              </w:rPr>
            </w:pPr>
            <w:r w:rsidRPr="00BB2634">
              <w:rPr>
                <w:rFonts w:ascii="Arial" w:hAnsi="Arial" w:cs="Arial"/>
                <w:bCs/>
                <w:sz w:val="18"/>
                <w:szCs w:val="18"/>
              </w:rPr>
              <w:t xml:space="preserve">4.4 </w:t>
            </w:r>
          </w:p>
        </w:tc>
        <w:tc>
          <w:tcPr>
            <w:tcW w:w="6663" w:type="dxa"/>
            <w:gridSpan w:val="2"/>
            <w:shd w:val="clear" w:color="auto" w:fill="auto"/>
          </w:tcPr>
          <w:p w14:paraId="1A535A90" w14:textId="1524834A" w:rsidR="00AB5CD8" w:rsidRPr="00484D19" w:rsidRDefault="00AB5CD8"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Pricing </w:t>
            </w:r>
          </w:p>
        </w:tc>
        <w:tc>
          <w:tcPr>
            <w:tcW w:w="709" w:type="dxa"/>
            <w:shd w:val="clear" w:color="auto" w:fill="auto"/>
          </w:tcPr>
          <w:p w14:paraId="0AC60555"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9C73823"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1AC181A4"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5AF52E80" w14:textId="77777777" w:rsidTr="00255963">
        <w:trPr>
          <w:trHeight w:val="383"/>
        </w:trPr>
        <w:tc>
          <w:tcPr>
            <w:tcW w:w="566" w:type="dxa"/>
            <w:shd w:val="clear" w:color="auto" w:fill="auto"/>
          </w:tcPr>
          <w:p w14:paraId="25033678" w14:textId="0203F0B5"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4.4.1 </w:t>
            </w:r>
          </w:p>
        </w:tc>
        <w:tc>
          <w:tcPr>
            <w:tcW w:w="5388" w:type="dxa"/>
            <w:shd w:val="clear" w:color="auto" w:fill="auto"/>
          </w:tcPr>
          <w:p w14:paraId="074D687F" w14:textId="7340F359"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An indication of the expected price at which the securities will be offered; </w:t>
            </w:r>
          </w:p>
        </w:tc>
        <w:tc>
          <w:tcPr>
            <w:tcW w:w="1275" w:type="dxa"/>
          </w:tcPr>
          <w:p w14:paraId="3FAE8DE1" w14:textId="1DC49D76"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2685BDFE"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3D67729"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5A66173"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32783E87" w14:textId="77777777" w:rsidTr="00255963">
        <w:trPr>
          <w:trHeight w:val="383"/>
        </w:trPr>
        <w:tc>
          <w:tcPr>
            <w:tcW w:w="566" w:type="dxa"/>
            <w:shd w:val="clear" w:color="auto" w:fill="auto"/>
          </w:tcPr>
          <w:p w14:paraId="2D92CB37" w14:textId="6C360E51"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4.4.2 </w:t>
            </w:r>
          </w:p>
        </w:tc>
        <w:tc>
          <w:tcPr>
            <w:tcW w:w="5388" w:type="dxa"/>
            <w:shd w:val="clear" w:color="auto" w:fill="auto"/>
          </w:tcPr>
          <w:p w14:paraId="738ABD44" w14:textId="2578B84B"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In the alternative to item 4.4.1, a description of the method of for determining the price, pursuant to Article 17 of Regulation (EU) 2017/1129 and the process for its disclosure. </w:t>
            </w:r>
          </w:p>
        </w:tc>
        <w:tc>
          <w:tcPr>
            <w:tcW w:w="1275" w:type="dxa"/>
          </w:tcPr>
          <w:p w14:paraId="2C8BD410" w14:textId="2342DADB"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B </w:t>
            </w:r>
          </w:p>
        </w:tc>
        <w:tc>
          <w:tcPr>
            <w:tcW w:w="709" w:type="dxa"/>
            <w:shd w:val="clear" w:color="auto" w:fill="auto"/>
          </w:tcPr>
          <w:p w14:paraId="0B53351E"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229886F"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5E63B734"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547F3C2F" w14:textId="77777777" w:rsidTr="00255963">
        <w:trPr>
          <w:trHeight w:val="383"/>
        </w:trPr>
        <w:tc>
          <w:tcPr>
            <w:tcW w:w="566" w:type="dxa"/>
            <w:shd w:val="clear" w:color="auto" w:fill="auto"/>
          </w:tcPr>
          <w:p w14:paraId="11129BA6" w14:textId="70D02CF7"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4.4.3 </w:t>
            </w:r>
          </w:p>
        </w:tc>
        <w:tc>
          <w:tcPr>
            <w:tcW w:w="5388" w:type="dxa"/>
            <w:shd w:val="clear" w:color="auto" w:fill="auto"/>
          </w:tcPr>
          <w:p w14:paraId="11E9EC60" w14:textId="1D3A3B83"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Indicate the amount of any expenses and taxes charged to the subscriber or purchaser. Where the issuer is subject to Regulation (EU) No 1286/2014 and/or </w:t>
            </w:r>
            <w:r w:rsidR="00C46B0B">
              <w:rPr>
                <w:rFonts w:ascii="Arial" w:hAnsi="Arial" w:cs="Arial"/>
                <w:sz w:val="18"/>
                <w:szCs w:val="18"/>
              </w:rPr>
              <w:t xml:space="preserve">the UK law which implemented </w:t>
            </w:r>
            <w:r w:rsidRPr="00484D19">
              <w:rPr>
                <w:rFonts w:ascii="Arial" w:hAnsi="Arial" w:cs="Arial"/>
                <w:sz w:val="18"/>
                <w:szCs w:val="18"/>
              </w:rPr>
              <w:t xml:space="preserve">Directive 2014/65/EU, and to the extent that they are known, include those expenses contained in the price. </w:t>
            </w:r>
          </w:p>
        </w:tc>
        <w:tc>
          <w:tcPr>
            <w:tcW w:w="1275" w:type="dxa"/>
          </w:tcPr>
          <w:p w14:paraId="561DD3C6" w14:textId="6DEA8048"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515235E9"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9EB0376"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27F09B36"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AB5CD8" w:rsidRPr="00484D19" w14:paraId="6ED75C43" w14:textId="77777777" w:rsidTr="00255963">
        <w:trPr>
          <w:trHeight w:val="383"/>
        </w:trPr>
        <w:tc>
          <w:tcPr>
            <w:tcW w:w="566" w:type="dxa"/>
            <w:shd w:val="clear" w:color="auto" w:fill="auto"/>
          </w:tcPr>
          <w:p w14:paraId="0E56A4EB" w14:textId="7D59F417" w:rsidR="00AB5CD8" w:rsidRPr="00BB2634" w:rsidRDefault="00AB5CD8" w:rsidP="00AB5CD8">
            <w:pPr>
              <w:pStyle w:val="Default"/>
              <w:spacing w:after="60"/>
              <w:rPr>
                <w:rFonts w:ascii="Arial" w:hAnsi="Arial" w:cs="Arial"/>
                <w:bCs/>
                <w:sz w:val="18"/>
                <w:szCs w:val="18"/>
              </w:rPr>
            </w:pPr>
            <w:r w:rsidRPr="00BB2634">
              <w:rPr>
                <w:rFonts w:ascii="Arial" w:hAnsi="Arial" w:cs="Arial"/>
                <w:bCs/>
                <w:sz w:val="18"/>
                <w:szCs w:val="18"/>
              </w:rPr>
              <w:t xml:space="preserve">4.5 </w:t>
            </w:r>
          </w:p>
        </w:tc>
        <w:tc>
          <w:tcPr>
            <w:tcW w:w="6663" w:type="dxa"/>
            <w:gridSpan w:val="2"/>
            <w:shd w:val="clear" w:color="auto" w:fill="auto"/>
          </w:tcPr>
          <w:p w14:paraId="307FB912" w14:textId="53E1B982" w:rsidR="00AB5CD8" w:rsidRPr="00484D19" w:rsidRDefault="00AB5CD8"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Placing and underwriting </w:t>
            </w:r>
          </w:p>
        </w:tc>
        <w:tc>
          <w:tcPr>
            <w:tcW w:w="709" w:type="dxa"/>
            <w:shd w:val="clear" w:color="auto" w:fill="auto"/>
          </w:tcPr>
          <w:p w14:paraId="2EEBB04C"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2D71566"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05CAFF7"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5198A614" w14:textId="77777777" w:rsidTr="00255963">
        <w:trPr>
          <w:trHeight w:val="383"/>
        </w:trPr>
        <w:tc>
          <w:tcPr>
            <w:tcW w:w="566" w:type="dxa"/>
            <w:shd w:val="clear" w:color="auto" w:fill="auto"/>
          </w:tcPr>
          <w:p w14:paraId="28677361" w14:textId="7EF61A00"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4.5.1 </w:t>
            </w:r>
          </w:p>
        </w:tc>
        <w:tc>
          <w:tcPr>
            <w:tcW w:w="5388" w:type="dxa"/>
            <w:shd w:val="clear" w:color="auto" w:fill="auto"/>
          </w:tcPr>
          <w:p w14:paraId="23C21001" w14:textId="51DC5E4F" w:rsidR="00C40AB9" w:rsidRPr="00484D19" w:rsidRDefault="00C40AB9" w:rsidP="00255963">
            <w:pPr>
              <w:pStyle w:val="Default"/>
              <w:spacing w:after="120"/>
              <w:rPr>
                <w:rFonts w:ascii="Arial" w:hAnsi="Arial" w:cs="Arial"/>
                <w:sz w:val="18"/>
                <w:szCs w:val="18"/>
              </w:rPr>
            </w:pPr>
            <w:r w:rsidRPr="00484D19">
              <w:rPr>
                <w:rFonts w:ascii="Arial" w:hAnsi="Arial" w:cs="Arial"/>
                <w:sz w:val="18"/>
                <w:szCs w:val="18"/>
              </w:rPr>
              <w:t xml:space="preserve">Name and address of the co-ordinator(s) of the global offer and of single parts of the offer and, to the extent known to the issuer or to the offeror, of the placers in the various countries where the offer takes place. </w:t>
            </w:r>
          </w:p>
        </w:tc>
        <w:tc>
          <w:tcPr>
            <w:tcW w:w="1275" w:type="dxa"/>
          </w:tcPr>
          <w:p w14:paraId="66ECBFF1" w14:textId="4CA225A3"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238C68A1"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C96A76D"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1AA1F09E"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0171626E" w14:textId="77777777" w:rsidTr="00255963">
        <w:trPr>
          <w:trHeight w:val="383"/>
        </w:trPr>
        <w:tc>
          <w:tcPr>
            <w:tcW w:w="566" w:type="dxa"/>
            <w:shd w:val="clear" w:color="auto" w:fill="auto"/>
          </w:tcPr>
          <w:p w14:paraId="10038757" w14:textId="425077BF"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4.5.2 </w:t>
            </w:r>
          </w:p>
        </w:tc>
        <w:tc>
          <w:tcPr>
            <w:tcW w:w="5388" w:type="dxa"/>
            <w:shd w:val="clear" w:color="auto" w:fill="auto"/>
          </w:tcPr>
          <w:p w14:paraId="726BBE56" w14:textId="68055B25"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Name and address of any paying agents and depository agents in each country. </w:t>
            </w:r>
          </w:p>
        </w:tc>
        <w:tc>
          <w:tcPr>
            <w:tcW w:w="1275" w:type="dxa"/>
          </w:tcPr>
          <w:p w14:paraId="2A71F01D" w14:textId="30867C4D"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70156093"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F26D1A6"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F45BD07"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7DF54344" w14:textId="77777777" w:rsidTr="00255963">
        <w:trPr>
          <w:trHeight w:val="383"/>
        </w:trPr>
        <w:tc>
          <w:tcPr>
            <w:tcW w:w="566" w:type="dxa"/>
            <w:shd w:val="clear" w:color="auto" w:fill="auto"/>
          </w:tcPr>
          <w:p w14:paraId="091F429B" w14:textId="240EBD12"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4.5.3 </w:t>
            </w:r>
          </w:p>
        </w:tc>
        <w:tc>
          <w:tcPr>
            <w:tcW w:w="5388" w:type="dxa"/>
            <w:shd w:val="clear" w:color="auto" w:fill="auto"/>
          </w:tcPr>
          <w:p w14:paraId="0F4AE53D" w14:textId="746543B4"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Name and address of the entities agreeing to underwrite the issue on a firm commitment basis, and name and address of the entities agreeing to place the issue without a firm commitment or under “best efforts” arrangements. Indication of the material features of the agreements, including the quotas. Where not all of the issue is underwritten, a statement of the portion not covered. Indication of the overall amount of the underwriting commission and of the placing commission. </w:t>
            </w:r>
          </w:p>
        </w:tc>
        <w:tc>
          <w:tcPr>
            <w:tcW w:w="1275" w:type="dxa"/>
          </w:tcPr>
          <w:p w14:paraId="47492017" w14:textId="6BE346B3"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5B60DE68"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E4123A2"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1400CE41"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4330F7F2" w14:textId="77777777" w:rsidTr="00255963">
        <w:trPr>
          <w:trHeight w:val="383"/>
        </w:trPr>
        <w:tc>
          <w:tcPr>
            <w:tcW w:w="566" w:type="dxa"/>
            <w:shd w:val="clear" w:color="auto" w:fill="auto"/>
          </w:tcPr>
          <w:p w14:paraId="7976144B" w14:textId="6478177B"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4.5.4 </w:t>
            </w:r>
          </w:p>
        </w:tc>
        <w:tc>
          <w:tcPr>
            <w:tcW w:w="5388" w:type="dxa"/>
            <w:shd w:val="clear" w:color="auto" w:fill="auto"/>
          </w:tcPr>
          <w:p w14:paraId="41F56DF8" w14:textId="1AEB5299"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When the underwriting agreement has been or will be reached. </w:t>
            </w:r>
          </w:p>
        </w:tc>
        <w:tc>
          <w:tcPr>
            <w:tcW w:w="1275" w:type="dxa"/>
          </w:tcPr>
          <w:p w14:paraId="7F888C25" w14:textId="50CC7D90"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34756B77"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7A8902C"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8AF9697"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5FD41640" w14:textId="77777777" w:rsidTr="00255963">
        <w:trPr>
          <w:trHeight w:val="383"/>
        </w:trPr>
        <w:tc>
          <w:tcPr>
            <w:tcW w:w="566" w:type="dxa"/>
            <w:shd w:val="clear" w:color="auto" w:fill="auto"/>
          </w:tcPr>
          <w:p w14:paraId="0C88F56F" w14:textId="6E29AF82"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4.6 </w:t>
            </w:r>
          </w:p>
        </w:tc>
        <w:tc>
          <w:tcPr>
            <w:tcW w:w="5388" w:type="dxa"/>
            <w:shd w:val="clear" w:color="auto" w:fill="auto"/>
          </w:tcPr>
          <w:p w14:paraId="7D3C63D6" w14:textId="11D230A8"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Admission to trading and dealing arrangements </w:t>
            </w:r>
          </w:p>
        </w:tc>
        <w:tc>
          <w:tcPr>
            <w:tcW w:w="1275" w:type="dxa"/>
          </w:tcPr>
          <w:p w14:paraId="10CEF1A5" w14:textId="77777777" w:rsidR="00C40AB9" w:rsidRPr="00484D19" w:rsidRDefault="00C40AB9" w:rsidP="00255963">
            <w:pPr>
              <w:autoSpaceDE w:val="0"/>
              <w:autoSpaceDN w:val="0"/>
              <w:adjustRightInd w:val="0"/>
              <w:spacing w:after="120"/>
              <w:rPr>
                <w:rFonts w:ascii="Arial" w:hAnsi="Arial" w:cs="Arial"/>
                <w:sz w:val="18"/>
                <w:szCs w:val="18"/>
              </w:rPr>
            </w:pPr>
          </w:p>
        </w:tc>
        <w:tc>
          <w:tcPr>
            <w:tcW w:w="709" w:type="dxa"/>
            <w:shd w:val="clear" w:color="auto" w:fill="auto"/>
          </w:tcPr>
          <w:p w14:paraId="6E1905CE"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510098E2"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1EF6096B"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36B5D9F3" w14:textId="77777777" w:rsidTr="00255963">
        <w:trPr>
          <w:trHeight w:val="383"/>
        </w:trPr>
        <w:tc>
          <w:tcPr>
            <w:tcW w:w="566" w:type="dxa"/>
            <w:shd w:val="clear" w:color="auto" w:fill="auto"/>
          </w:tcPr>
          <w:p w14:paraId="5C42C902" w14:textId="503F08A9"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4.6.1 </w:t>
            </w:r>
          </w:p>
        </w:tc>
        <w:tc>
          <w:tcPr>
            <w:tcW w:w="5388" w:type="dxa"/>
            <w:shd w:val="clear" w:color="auto" w:fill="auto"/>
          </w:tcPr>
          <w:p w14:paraId="09263E3A" w14:textId="25846F97"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An indication as to whether the securities offered are or will be the object of an application for admission to trading on an SME growth Market or an MTF, with a view to their distribution in an SME Growth Market or an MTF with an indication of the markets in question. This circumstance must be set out, without creating the impression that the admission to trading will necessarily be approved. If known, the earliest dates on which the securities will be admitted to trading. </w:t>
            </w:r>
          </w:p>
        </w:tc>
        <w:tc>
          <w:tcPr>
            <w:tcW w:w="1275" w:type="dxa"/>
          </w:tcPr>
          <w:p w14:paraId="1B2DEB26" w14:textId="64B9B45E"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B </w:t>
            </w:r>
          </w:p>
        </w:tc>
        <w:tc>
          <w:tcPr>
            <w:tcW w:w="709" w:type="dxa"/>
            <w:shd w:val="clear" w:color="auto" w:fill="auto"/>
          </w:tcPr>
          <w:p w14:paraId="4BA2CD7F"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FB25FEC"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916B1F5"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23EA90CC" w14:textId="77777777" w:rsidTr="00255963">
        <w:trPr>
          <w:trHeight w:val="383"/>
        </w:trPr>
        <w:tc>
          <w:tcPr>
            <w:tcW w:w="566" w:type="dxa"/>
            <w:shd w:val="clear" w:color="auto" w:fill="auto"/>
          </w:tcPr>
          <w:p w14:paraId="448550A0" w14:textId="1D3C0DBE"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4.6.2 </w:t>
            </w:r>
          </w:p>
        </w:tc>
        <w:tc>
          <w:tcPr>
            <w:tcW w:w="5388" w:type="dxa"/>
            <w:shd w:val="clear" w:color="auto" w:fill="auto"/>
          </w:tcPr>
          <w:p w14:paraId="4972D640" w14:textId="4E2F6950"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All the SME growth Markets or MTFs on which, to the knowledge of the issuer, securities of the same class of the securities to be offered tor admitted to trading are already admitted to trading. </w:t>
            </w:r>
          </w:p>
        </w:tc>
        <w:tc>
          <w:tcPr>
            <w:tcW w:w="1275" w:type="dxa"/>
          </w:tcPr>
          <w:p w14:paraId="55924411" w14:textId="0BE8093E"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674A32D0"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48C5252"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63ED7D3"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2D332975" w14:textId="77777777" w:rsidTr="00255963">
        <w:trPr>
          <w:trHeight w:val="383"/>
        </w:trPr>
        <w:tc>
          <w:tcPr>
            <w:tcW w:w="566" w:type="dxa"/>
            <w:shd w:val="clear" w:color="auto" w:fill="auto"/>
          </w:tcPr>
          <w:p w14:paraId="764E7654" w14:textId="23E7FD67"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4.6.3 </w:t>
            </w:r>
          </w:p>
        </w:tc>
        <w:tc>
          <w:tcPr>
            <w:tcW w:w="5388" w:type="dxa"/>
            <w:shd w:val="clear" w:color="auto" w:fill="auto"/>
          </w:tcPr>
          <w:p w14:paraId="3B1E6F53" w14:textId="154180C9"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In the case of an admission to trading on an SME growth market or an MTF, details of the entities which have a firm commitment to act as intermediaries in secondary trading, providing liquidity through bid and offer rates and description of the main terms of their commitment. </w:t>
            </w:r>
          </w:p>
        </w:tc>
        <w:tc>
          <w:tcPr>
            <w:tcW w:w="1275" w:type="dxa"/>
          </w:tcPr>
          <w:p w14:paraId="19A191E8" w14:textId="0CF66335"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66672115"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D6D1E7D"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7E375E8C"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C40AB9" w:rsidRPr="00484D19" w14:paraId="39DA8E69" w14:textId="77777777" w:rsidTr="00255963">
        <w:trPr>
          <w:trHeight w:val="383"/>
        </w:trPr>
        <w:tc>
          <w:tcPr>
            <w:tcW w:w="566" w:type="dxa"/>
            <w:shd w:val="clear" w:color="auto" w:fill="auto"/>
          </w:tcPr>
          <w:p w14:paraId="1DD5A8AD" w14:textId="15F127EB" w:rsidR="00C40AB9" w:rsidRPr="00BB2634" w:rsidRDefault="00C40AB9" w:rsidP="00AB5CD8">
            <w:pPr>
              <w:pStyle w:val="Default"/>
              <w:spacing w:after="60"/>
              <w:rPr>
                <w:rFonts w:ascii="Arial" w:hAnsi="Arial" w:cs="Arial"/>
                <w:bCs/>
                <w:sz w:val="18"/>
                <w:szCs w:val="18"/>
              </w:rPr>
            </w:pPr>
            <w:r w:rsidRPr="00BB2634">
              <w:rPr>
                <w:rFonts w:ascii="Arial" w:hAnsi="Arial" w:cs="Arial"/>
                <w:bCs/>
                <w:sz w:val="18"/>
                <w:szCs w:val="18"/>
              </w:rPr>
              <w:t xml:space="preserve">4.6.4 </w:t>
            </w:r>
          </w:p>
        </w:tc>
        <w:tc>
          <w:tcPr>
            <w:tcW w:w="5388" w:type="dxa"/>
            <w:shd w:val="clear" w:color="auto" w:fill="auto"/>
          </w:tcPr>
          <w:p w14:paraId="28B4C180" w14:textId="753A5334"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The issue price of the securities </w:t>
            </w:r>
          </w:p>
        </w:tc>
        <w:tc>
          <w:tcPr>
            <w:tcW w:w="1275" w:type="dxa"/>
          </w:tcPr>
          <w:p w14:paraId="39701E5F" w14:textId="5996ED4C" w:rsidR="00C40AB9" w:rsidRPr="00484D19" w:rsidRDefault="00C40AB9"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Category C </w:t>
            </w:r>
          </w:p>
        </w:tc>
        <w:tc>
          <w:tcPr>
            <w:tcW w:w="709" w:type="dxa"/>
            <w:shd w:val="clear" w:color="auto" w:fill="auto"/>
          </w:tcPr>
          <w:p w14:paraId="1D49F84F"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9C7A15A"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3A85CB71" w14:textId="77777777" w:rsidR="00C40AB9" w:rsidRPr="00484D19" w:rsidRDefault="00C40AB9" w:rsidP="00AB5CD8">
            <w:pPr>
              <w:autoSpaceDE w:val="0"/>
              <w:autoSpaceDN w:val="0"/>
              <w:adjustRightInd w:val="0"/>
              <w:spacing w:after="60"/>
              <w:rPr>
                <w:rFonts w:ascii="Arial" w:eastAsiaTheme="minorHAnsi" w:hAnsi="Arial" w:cs="Arial"/>
                <w:bCs/>
                <w:sz w:val="18"/>
                <w:szCs w:val="18"/>
                <w:lang w:eastAsia="en-US"/>
              </w:rPr>
            </w:pPr>
          </w:p>
        </w:tc>
      </w:tr>
      <w:tr w:rsidR="00AB5CD8" w:rsidRPr="00484D19" w14:paraId="724B2D5F" w14:textId="77777777" w:rsidTr="00255963">
        <w:trPr>
          <w:trHeight w:val="383"/>
        </w:trPr>
        <w:tc>
          <w:tcPr>
            <w:tcW w:w="566" w:type="dxa"/>
            <w:shd w:val="clear" w:color="auto" w:fill="auto"/>
          </w:tcPr>
          <w:p w14:paraId="6F0FF392" w14:textId="5C12DEB5" w:rsidR="00AB5CD8" w:rsidRPr="00BB2634" w:rsidRDefault="00AB5CD8" w:rsidP="00AB5CD8">
            <w:pPr>
              <w:pStyle w:val="Default"/>
              <w:spacing w:after="60"/>
              <w:rPr>
                <w:rFonts w:ascii="Arial" w:hAnsi="Arial" w:cs="Arial"/>
                <w:bCs/>
                <w:sz w:val="18"/>
                <w:szCs w:val="18"/>
              </w:rPr>
            </w:pPr>
            <w:r w:rsidRPr="00BB2634">
              <w:rPr>
                <w:rFonts w:ascii="Arial" w:hAnsi="Arial" w:cs="Arial"/>
                <w:bCs/>
                <w:sz w:val="18"/>
                <w:szCs w:val="18"/>
              </w:rPr>
              <w:t xml:space="preserve">5 </w:t>
            </w:r>
          </w:p>
        </w:tc>
        <w:tc>
          <w:tcPr>
            <w:tcW w:w="6663" w:type="dxa"/>
            <w:gridSpan w:val="2"/>
            <w:shd w:val="clear" w:color="auto" w:fill="auto"/>
          </w:tcPr>
          <w:p w14:paraId="69B0344E" w14:textId="06EFE056" w:rsidR="00AB5CD8" w:rsidRPr="00484D19" w:rsidRDefault="00AB5CD8" w:rsidP="00255963">
            <w:pPr>
              <w:autoSpaceDE w:val="0"/>
              <w:autoSpaceDN w:val="0"/>
              <w:adjustRightInd w:val="0"/>
              <w:spacing w:after="120"/>
              <w:rPr>
                <w:rFonts w:ascii="Arial" w:hAnsi="Arial" w:cs="Arial"/>
                <w:sz w:val="18"/>
                <w:szCs w:val="18"/>
              </w:rPr>
            </w:pPr>
            <w:r w:rsidRPr="00484D19">
              <w:rPr>
                <w:rFonts w:ascii="Arial" w:hAnsi="Arial" w:cs="Arial"/>
                <w:b/>
                <w:bCs/>
                <w:sz w:val="18"/>
                <w:szCs w:val="18"/>
              </w:rPr>
              <w:t xml:space="preserve">GUARANTOR INFORMATION (IF APPLICABLE) </w:t>
            </w:r>
          </w:p>
        </w:tc>
        <w:tc>
          <w:tcPr>
            <w:tcW w:w="709" w:type="dxa"/>
            <w:shd w:val="clear" w:color="auto" w:fill="auto"/>
          </w:tcPr>
          <w:p w14:paraId="27D380FC"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7808058E"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66CA19C3"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r>
      <w:tr w:rsidR="00AB5CD8" w:rsidRPr="00484D19" w14:paraId="33BA203D" w14:textId="77777777" w:rsidTr="00255963">
        <w:trPr>
          <w:trHeight w:val="383"/>
        </w:trPr>
        <w:tc>
          <w:tcPr>
            <w:tcW w:w="566" w:type="dxa"/>
            <w:shd w:val="clear" w:color="auto" w:fill="auto"/>
          </w:tcPr>
          <w:p w14:paraId="24EBD142" w14:textId="5F95317E" w:rsidR="00AB5CD8" w:rsidRPr="00BB2634" w:rsidRDefault="00AB5CD8" w:rsidP="00AB5CD8">
            <w:pPr>
              <w:pStyle w:val="Default"/>
              <w:spacing w:after="60"/>
              <w:rPr>
                <w:rFonts w:ascii="Arial" w:hAnsi="Arial" w:cs="Arial"/>
                <w:bCs/>
                <w:sz w:val="18"/>
                <w:szCs w:val="18"/>
              </w:rPr>
            </w:pPr>
            <w:r w:rsidRPr="00BB2634">
              <w:rPr>
                <w:rFonts w:ascii="Arial" w:hAnsi="Arial" w:cs="Arial"/>
                <w:bCs/>
                <w:sz w:val="18"/>
                <w:szCs w:val="18"/>
              </w:rPr>
              <w:t xml:space="preserve">5.1 </w:t>
            </w:r>
          </w:p>
        </w:tc>
        <w:tc>
          <w:tcPr>
            <w:tcW w:w="6663" w:type="dxa"/>
            <w:gridSpan w:val="2"/>
            <w:shd w:val="clear" w:color="auto" w:fill="auto"/>
          </w:tcPr>
          <w:p w14:paraId="577DEAC5" w14:textId="474F20AA" w:rsidR="00AB5CD8" w:rsidRPr="00484D19" w:rsidRDefault="00AB5CD8" w:rsidP="00255963">
            <w:pPr>
              <w:autoSpaceDE w:val="0"/>
              <w:autoSpaceDN w:val="0"/>
              <w:adjustRightInd w:val="0"/>
              <w:spacing w:after="120"/>
              <w:rPr>
                <w:rFonts w:ascii="Arial" w:hAnsi="Arial" w:cs="Arial"/>
                <w:sz w:val="18"/>
                <w:szCs w:val="18"/>
              </w:rPr>
            </w:pPr>
            <w:r w:rsidRPr="00484D19">
              <w:rPr>
                <w:rFonts w:ascii="Arial" w:hAnsi="Arial" w:cs="Arial"/>
                <w:sz w:val="18"/>
                <w:szCs w:val="18"/>
              </w:rPr>
              <w:t xml:space="preserve">In the case of a guarantee attached to the securities, the information that is required in Annex 21. </w:t>
            </w:r>
          </w:p>
        </w:tc>
        <w:tc>
          <w:tcPr>
            <w:tcW w:w="709" w:type="dxa"/>
            <w:shd w:val="clear" w:color="auto" w:fill="auto"/>
          </w:tcPr>
          <w:p w14:paraId="14A46C59"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02DD5193"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7F8F3390" w14:textId="77777777" w:rsidR="00AB5CD8" w:rsidRPr="00484D19" w:rsidRDefault="00AB5CD8" w:rsidP="00AB5CD8">
            <w:pPr>
              <w:autoSpaceDE w:val="0"/>
              <w:autoSpaceDN w:val="0"/>
              <w:adjustRightInd w:val="0"/>
              <w:spacing w:after="60"/>
              <w:rPr>
                <w:rFonts w:ascii="Arial" w:eastAsiaTheme="minorHAnsi" w:hAnsi="Arial" w:cs="Arial"/>
                <w:bCs/>
                <w:sz w:val="18"/>
                <w:szCs w:val="18"/>
                <w:lang w:eastAsia="en-US"/>
              </w:rPr>
            </w:pPr>
          </w:p>
        </w:tc>
      </w:tr>
      <w:tr w:rsidR="009D2F87" w:rsidRPr="00484D19" w14:paraId="67E67A57" w14:textId="77777777" w:rsidTr="00255963">
        <w:trPr>
          <w:trHeight w:val="383"/>
        </w:trPr>
        <w:tc>
          <w:tcPr>
            <w:tcW w:w="566" w:type="dxa"/>
            <w:shd w:val="clear" w:color="auto" w:fill="auto"/>
          </w:tcPr>
          <w:p w14:paraId="298878E9" w14:textId="2BC141C3" w:rsidR="009D2F87" w:rsidRPr="00BB2634" w:rsidRDefault="009D2F87" w:rsidP="00AB5CD8">
            <w:pPr>
              <w:pStyle w:val="Default"/>
              <w:spacing w:after="60"/>
              <w:rPr>
                <w:rFonts w:ascii="Arial" w:hAnsi="Arial" w:cs="Arial"/>
                <w:bCs/>
                <w:sz w:val="18"/>
                <w:szCs w:val="18"/>
              </w:rPr>
            </w:pPr>
            <w:r w:rsidRPr="00BB2634">
              <w:rPr>
                <w:rFonts w:ascii="Arial" w:hAnsi="Arial" w:cs="Arial"/>
                <w:bCs/>
                <w:sz w:val="18"/>
                <w:szCs w:val="18"/>
              </w:rPr>
              <w:t>6</w:t>
            </w:r>
          </w:p>
        </w:tc>
        <w:tc>
          <w:tcPr>
            <w:tcW w:w="6663" w:type="dxa"/>
            <w:gridSpan w:val="2"/>
            <w:shd w:val="clear" w:color="auto" w:fill="auto"/>
          </w:tcPr>
          <w:p w14:paraId="7393433B" w14:textId="14D475CE" w:rsidR="009D2F87" w:rsidRPr="00207400" w:rsidRDefault="009D2F87" w:rsidP="00255963">
            <w:pPr>
              <w:autoSpaceDE w:val="0"/>
              <w:autoSpaceDN w:val="0"/>
              <w:adjustRightInd w:val="0"/>
              <w:spacing w:after="120"/>
              <w:rPr>
                <w:rFonts w:ascii="Arial" w:hAnsi="Arial" w:cs="Arial"/>
                <w:b/>
                <w:sz w:val="18"/>
                <w:szCs w:val="18"/>
              </w:rPr>
            </w:pPr>
            <w:r w:rsidRPr="00207400">
              <w:rPr>
                <w:rFonts w:ascii="Arial" w:hAnsi="Arial" w:cs="Arial"/>
                <w:b/>
                <w:sz w:val="18"/>
                <w:szCs w:val="18"/>
              </w:rPr>
              <w:t>UNDERLYING SHARE INFORMATION (WHERE APPLICABLE)</w:t>
            </w:r>
          </w:p>
        </w:tc>
        <w:tc>
          <w:tcPr>
            <w:tcW w:w="709" w:type="dxa"/>
            <w:shd w:val="clear" w:color="auto" w:fill="auto"/>
          </w:tcPr>
          <w:p w14:paraId="73871E4C"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21A25128"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6B1035A2"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r>
      <w:tr w:rsidR="009D2F87" w:rsidRPr="00484D19" w14:paraId="7FFFE77B" w14:textId="77777777" w:rsidTr="00255963">
        <w:trPr>
          <w:trHeight w:val="383"/>
        </w:trPr>
        <w:tc>
          <w:tcPr>
            <w:tcW w:w="566" w:type="dxa"/>
            <w:shd w:val="clear" w:color="auto" w:fill="auto"/>
          </w:tcPr>
          <w:p w14:paraId="4B2594C5" w14:textId="3A4AC7CE" w:rsidR="009D2F87" w:rsidRPr="00BB2634" w:rsidRDefault="009D2F87" w:rsidP="00AB5CD8">
            <w:pPr>
              <w:pStyle w:val="Default"/>
              <w:spacing w:after="60"/>
              <w:rPr>
                <w:rFonts w:ascii="Arial" w:hAnsi="Arial" w:cs="Arial"/>
                <w:bCs/>
                <w:sz w:val="18"/>
                <w:szCs w:val="18"/>
              </w:rPr>
            </w:pPr>
            <w:r w:rsidRPr="00BB2634">
              <w:rPr>
                <w:rFonts w:ascii="Arial" w:hAnsi="Arial" w:cs="Arial"/>
                <w:bCs/>
                <w:sz w:val="18"/>
                <w:szCs w:val="18"/>
              </w:rPr>
              <w:t>6.1</w:t>
            </w:r>
          </w:p>
        </w:tc>
        <w:tc>
          <w:tcPr>
            <w:tcW w:w="6663" w:type="dxa"/>
            <w:gridSpan w:val="2"/>
            <w:shd w:val="clear" w:color="auto" w:fill="auto"/>
          </w:tcPr>
          <w:p w14:paraId="3076049C" w14:textId="77777777" w:rsidR="009D2F87" w:rsidRPr="00207400" w:rsidRDefault="009D2F87" w:rsidP="00255963">
            <w:pPr>
              <w:pStyle w:val="ListParagraph"/>
              <w:numPr>
                <w:ilvl w:val="0"/>
                <w:numId w:val="33"/>
              </w:numPr>
              <w:autoSpaceDE w:val="0"/>
              <w:autoSpaceDN w:val="0"/>
              <w:adjustRightInd w:val="0"/>
              <w:spacing w:after="120"/>
              <w:rPr>
                <w:rFonts w:ascii="Arial" w:hAnsi="Arial" w:cs="Arial"/>
                <w:sz w:val="18"/>
                <w:szCs w:val="18"/>
              </w:rPr>
            </w:pPr>
            <w:r w:rsidRPr="00207400">
              <w:rPr>
                <w:rFonts w:ascii="Arial" w:hAnsi="Arial" w:cs="Arial"/>
                <w:sz w:val="18"/>
                <w:szCs w:val="18"/>
              </w:rPr>
              <w:t>Where applicable, the information referred to in items 2.1 and 2.2 of Annex 26 in respect of the issuer of the underlying share.</w:t>
            </w:r>
          </w:p>
          <w:p w14:paraId="7BC93922" w14:textId="0445C4F5" w:rsidR="009D2F87" w:rsidRPr="00207400" w:rsidRDefault="009D2F87" w:rsidP="00255963">
            <w:pPr>
              <w:pStyle w:val="ListParagraph"/>
              <w:numPr>
                <w:ilvl w:val="0"/>
                <w:numId w:val="33"/>
              </w:numPr>
              <w:autoSpaceDE w:val="0"/>
              <w:autoSpaceDN w:val="0"/>
              <w:adjustRightInd w:val="0"/>
              <w:spacing w:after="120"/>
              <w:rPr>
                <w:rFonts w:ascii="Arial" w:hAnsi="Arial" w:cs="Arial"/>
                <w:sz w:val="18"/>
                <w:szCs w:val="18"/>
              </w:rPr>
            </w:pPr>
            <w:r w:rsidRPr="00207400">
              <w:rPr>
                <w:rFonts w:ascii="Arial" w:hAnsi="Arial" w:cs="Arial"/>
                <w:sz w:val="18"/>
                <w:szCs w:val="18"/>
              </w:rPr>
              <w:t>Where applicable, the information referred to in Annex 18.</w:t>
            </w:r>
          </w:p>
        </w:tc>
        <w:tc>
          <w:tcPr>
            <w:tcW w:w="709" w:type="dxa"/>
            <w:shd w:val="clear" w:color="auto" w:fill="auto"/>
          </w:tcPr>
          <w:p w14:paraId="71A1B8F2"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644115D2"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2FEF0783" w14:textId="77777777" w:rsidR="009D2F87" w:rsidRDefault="009D2F87" w:rsidP="00AB5CD8">
            <w:pPr>
              <w:autoSpaceDE w:val="0"/>
              <w:autoSpaceDN w:val="0"/>
              <w:adjustRightInd w:val="0"/>
              <w:spacing w:after="60"/>
              <w:rPr>
                <w:rFonts w:ascii="Arial" w:eastAsiaTheme="minorHAnsi" w:hAnsi="Arial" w:cs="Arial"/>
                <w:bCs/>
                <w:sz w:val="18"/>
                <w:szCs w:val="18"/>
                <w:lang w:eastAsia="en-US"/>
              </w:rPr>
            </w:pPr>
          </w:p>
        </w:tc>
      </w:tr>
      <w:tr w:rsidR="009D2F87" w:rsidRPr="00484D19" w14:paraId="4E63C09C" w14:textId="77777777" w:rsidTr="00255963">
        <w:trPr>
          <w:trHeight w:val="383"/>
        </w:trPr>
        <w:tc>
          <w:tcPr>
            <w:tcW w:w="566" w:type="dxa"/>
            <w:shd w:val="clear" w:color="auto" w:fill="auto"/>
          </w:tcPr>
          <w:p w14:paraId="4980D255" w14:textId="2DF847AF" w:rsidR="009D2F87" w:rsidRPr="00BB2634" w:rsidRDefault="009D2F87" w:rsidP="00AB5CD8">
            <w:pPr>
              <w:pStyle w:val="Default"/>
              <w:spacing w:after="60"/>
              <w:rPr>
                <w:rFonts w:ascii="Arial" w:hAnsi="Arial" w:cs="Arial"/>
                <w:bCs/>
                <w:sz w:val="18"/>
                <w:szCs w:val="18"/>
              </w:rPr>
            </w:pPr>
            <w:r w:rsidRPr="00BB2634">
              <w:rPr>
                <w:rFonts w:ascii="Arial" w:hAnsi="Arial" w:cs="Arial"/>
                <w:bCs/>
                <w:sz w:val="18"/>
                <w:szCs w:val="18"/>
              </w:rPr>
              <w:t>7</w:t>
            </w:r>
          </w:p>
        </w:tc>
        <w:tc>
          <w:tcPr>
            <w:tcW w:w="6663" w:type="dxa"/>
            <w:gridSpan w:val="2"/>
            <w:shd w:val="clear" w:color="auto" w:fill="auto"/>
          </w:tcPr>
          <w:p w14:paraId="6E11D554" w14:textId="1BCEF158" w:rsidR="009D2F87" w:rsidRPr="00207400" w:rsidRDefault="009D2F87" w:rsidP="00255963">
            <w:pPr>
              <w:autoSpaceDE w:val="0"/>
              <w:autoSpaceDN w:val="0"/>
              <w:adjustRightInd w:val="0"/>
              <w:spacing w:after="120"/>
              <w:rPr>
                <w:rFonts w:ascii="Arial" w:hAnsi="Arial" w:cs="Arial"/>
                <w:b/>
                <w:sz w:val="18"/>
                <w:szCs w:val="18"/>
              </w:rPr>
            </w:pPr>
            <w:r w:rsidRPr="00207400">
              <w:rPr>
                <w:rFonts w:ascii="Arial" w:hAnsi="Arial" w:cs="Arial"/>
                <w:b/>
                <w:sz w:val="18"/>
                <w:szCs w:val="18"/>
              </w:rPr>
              <w:t>CONSENT INFORMATION (WHERE APPLICABLE)</w:t>
            </w:r>
          </w:p>
        </w:tc>
        <w:tc>
          <w:tcPr>
            <w:tcW w:w="709" w:type="dxa"/>
            <w:shd w:val="clear" w:color="auto" w:fill="auto"/>
          </w:tcPr>
          <w:p w14:paraId="3D31D82C"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3C3EF61D"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5674801D" w14:textId="77777777" w:rsidR="009D2F87" w:rsidRDefault="009D2F87" w:rsidP="00AB5CD8">
            <w:pPr>
              <w:autoSpaceDE w:val="0"/>
              <w:autoSpaceDN w:val="0"/>
              <w:adjustRightInd w:val="0"/>
              <w:spacing w:after="60"/>
              <w:rPr>
                <w:rFonts w:ascii="Arial" w:eastAsiaTheme="minorHAnsi" w:hAnsi="Arial" w:cs="Arial"/>
                <w:bCs/>
                <w:sz w:val="18"/>
                <w:szCs w:val="18"/>
                <w:lang w:eastAsia="en-US"/>
              </w:rPr>
            </w:pPr>
          </w:p>
        </w:tc>
      </w:tr>
      <w:tr w:rsidR="009D2F87" w:rsidRPr="00484D19" w14:paraId="0AC710E5" w14:textId="77777777" w:rsidTr="00255963">
        <w:trPr>
          <w:trHeight w:val="383"/>
        </w:trPr>
        <w:tc>
          <w:tcPr>
            <w:tcW w:w="566" w:type="dxa"/>
            <w:shd w:val="clear" w:color="auto" w:fill="auto"/>
          </w:tcPr>
          <w:p w14:paraId="4313F1F4" w14:textId="70A5775F" w:rsidR="009D2F87" w:rsidRPr="00BB2634" w:rsidRDefault="009D2F87" w:rsidP="00AB5CD8">
            <w:pPr>
              <w:pStyle w:val="Default"/>
              <w:spacing w:after="60"/>
              <w:rPr>
                <w:rFonts w:ascii="Arial" w:hAnsi="Arial" w:cs="Arial"/>
                <w:bCs/>
                <w:sz w:val="18"/>
                <w:szCs w:val="18"/>
              </w:rPr>
            </w:pPr>
            <w:r w:rsidRPr="00BB2634">
              <w:rPr>
                <w:rFonts w:ascii="Arial" w:hAnsi="Arial" w:cs="Arial"/>
                <w:bCs/>
                <w:sz w:val="18"/>
                <w:szCs w:val="18"/>
              </w:rPr>
              <w:t>7.1</w:t>
            </w:r>
          </w:p>
        </w:tc>
        <w:tc>
          <w:tcPr>
            <w:tcW w:w="6663" w:type="dxa"/>
            <w:gridSpan w:val="2"/>
            <w:shd w:val="clear" w:color="auto" w:fill="auto"/>
          </w:tcPr>
          <w:p w14:paraId="4FBCDC3D" w14:textId="77777777" w:rsidR="009D2F87" w:rsidRPr="009D2F87" w:rsidRDefault="009D2F87" w:rsidP="00255963">
            <w:pPr>
              <w:autoSpaceDE w:val="0"/>
              <w:autoSpaceDN w:val="0"/>
              <w:adjustRightInd w:val="0"/>
              <w:spacing w:after="120"/>
              <w:rPr>
                <w:rFonts w:ascii="Arial" w:hAnsi="Arial" w:cs="Arial"/>
                <w:sz w:val="18"/>
                <w:szCs w:val="18"/>
              </w:rPr>
            </w:pPr>
            <w:r w:rsidRPr="009D2F87">
              <w:rPr>
                <w:rFonts w:ascii="Arial" w:hAnsi="Arial" w:cs="Arial"/>
                <w:sz w:val="18"/>
                <w:szCs w:val="18"/>
              </w:rPr>
              <w:t>Where the issuer or the person responsible for drawing up a prospectus consents to its use as referred to in the second subparagraph of Article 5(1) of Regulation (EU) 2017/1129, the following additional information:</w:t>
            </w:r>
          </w:p>
          <w:p w14:paraId="1B59DD44" w14:textId="0E10F6C6" w:rsidR="009D2F87" w:rsidRPr="00207400" w:rsidRDefault="009D2F87" w:rsidP="00255963">
            <w:pPr>
              <w:pStyle w:val="ListParagraph"/>
              <w:numPr>
                <w:ilvl w:val="0"/>
                <w:numId w:val="34"/>
              </w:numPr>
              <w:autoSpaceDE w:val="0"/>
              <w:autoSpaceDN w:val="0"/>
              <w:adjustRightInd w:val="0"/>
              <w:spacing w:after="120"/>
              <w:rPr>
                <w:rFonts w:ascii="Arial" w:hAnsi="Arial" w:cs="Arial"/>
                <w:sz w:val="18"/>
                <w:szCs w:val="18"/>
              </w:rPr>
            </w:pPr>
            <w:r w:rsidRPr="00207400">
              <w:rPr>
                <w:rFonts w:ascii="Arial" w:hAnsi="Arial" w:cs="Arial"/>
                <w:sz w:val="18"/>
                <w:szCs w:val="18"/>
              </w:rPr>
              <w:t>the information referred to in sections 1 and 2A of Annex 22 where the consent is provided to one or more specified financial intermediaries;</w:t>
            </w:r>
          </w:p>
          <w:p w14:paraId="6F3603D7" w14:textId="3BD7C93F" w:rsidR="009D2F87" w:rsidRPr="00207400" w:rsidRDefault="009D2F87" w:rsidP="00255963">
            <w:pPr>
              <w:pStyle w:val="ListParagraph"/>
              <w:numPr>
                <w:ilvl w:val="0"/>
                <w:numId w:val="34"/>
              </w:numPr>
              <w:autoSpaceDE w:val="0"/>
              <w:autoSpaceDN w:val="0"/>
              <w:adjustRightInd w:val="0"/>
              <w:spacing w:after="120"/>
              <w:rPr>
                <w:rFonts w:ascii="Arial" w:hAnsi="Arial" w:cs="Arial"/>
                <w:sz w:val="18"/>
                <w:szCs w:val="18"/>
              </w:rPr>
            </w:pPr>
            <w:r w:rsidRPr="00207400">
              <w:rPr>
                <w:rFonts w:ascii="Arial" w:hAnsi="Arial" w:cs="Arial"/>
                <w:sz w:val="18"/>
                <w:szCs w:val="18"/>
              </w:rPr>
              <w:t>(b) the information referred to in sections 1 and 2B of Annex 22 where the consent is given to all financial intermediaries.</w:t>
            </w:r>
          </w:p>
        </w:tc>
        <w:tc>
          <w:tcPr>
            <w:tcW w:w="709" w:type="dxa"/>
            <w:shd w:val="clear" w:color="auto" w:fill="auto"/>
          </w:tcPr>
          <w:p w14:paraId="063E4605"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c>
          <w:tcPr>
            <w:tcW w:w="992" w:type="dxa"/>
            <w:shd w:val="clear" w:color="auto" w:fill="auto"/>
          </w:tcPr>
          <w:p w14:paraId="1E10EB7C" w14:textId="77777777" w:rsidR="009D2F87" w:rsidRPr="00484D19" w:rsidRDefault="009D2F87" w:rsidP="00AB5CD8">
            <w:pPr>
              <w:autoSpaceDE w:val="0"/>
              <w:autoSpaceDN w:val="0"/>
              <w:adjustRightInd w:val="0"/>
              <w:spacing w:after="60"/>
              <w:rPr>
                <w:rFonts w:ascii="Arial" w:eastAsiaTheme="minorHAnsi" w:hAnsi="Arial" w:cs="Arial"/>
                <w:bCs/>
                <w:sz w:val="18"/>
                <w:szCs w:val="18"/>
                <w:lang w:eastAsia="en-US"/>
              </w:rPr>
            </w:pPr>
          </w:p>
        </w:tc>
        <w:tc>
          <w:tcPr>
            <w:tcW w:w="1843" w:type="dxa"/>
            <w:shd w:val="clear" w:color="auto" w:fill="auto"/>
          </w:tcPr>
          <w:p w14:paraId="0A26BA55" w14:textId="77777777" w:rsidR="009D2F87" w:rsidRDefault="009D2F87" w:rsidP="00AB5CD8">
            <w:pPr>
              <w:autoSpaceDE w:val="0"/>
              <w:autoSpaceDN w:val="0"/>
              <w:adjustRightInd w:val="0"/>
              <w:spacing w:after="60"/>
              <w:rPr>
                <w:rFonts w:ascii="Arial" w:eastAsiaTheme="minorHAnsi" w:hAnsi="Arial" w:cs="Arial"/>
                <w:bCs/>
                <w:sz w:val="18"/>
                <w:szCs w:val="18"/>
                <w:lang w:eastAsia="en-US"/>
              </w:rPr>
            </w:pPr>
          </w:p>
        </w:tc>
      </w:tr>
    </w:tbl>
    <w:p w14:paraId="1943ABCB" w14:textId="640C3596" w:rsidR="00226ADF" w:rsidRDefault="00226ADF" w:rsidP="008F4819">
      <w:pPr>
        <w:pStyle w:val="Lev1Text"/>
        <w:rPr>
          <w:rFonts w:ascii="Arial" w:hAnsi="Arial" w:cs="Arial"/>
        </w:rPr>
      </w:pPr>
    </w:p>
    <w:p w14:paraId="4370A6B7" w14:textId="77777777" w:rsidR="00CD018A" w:rsidRDefault="00CD018A" w:rsidP="008F4819">
      <w:pPr>
        <w:pStyle w:val="Lev1Text"/>
        <w:rPr>
          <w:rFonts w:ascii="Arial" w:hAnsi="Arial" w:cs="Arial"/>
        </w:rPr>
      </w:pPr>
    </w:p>
    <w:p w14:paraId="23711049" w14:textId="27BDE5FF" w:rsidR="00FA3560" w:rsidRDefault="00FA3560" w:rsidP="00FA3560">
      <w:pPr>
        <w:pStyle w:val="Lev1Text"/>
        <w:rPr>
          <w:rFonts w:ascii="Arial" w:hAnsi="Arial" w:cs="Arial"/>
        </w:rPr>
      </w:pPr>
    </w:p>
    <w:p w14:paraId="0BD8ABD8" w14:textId="0072EC62" w:rsidR="00FA3560" w:rsidRPr="006366AE" w:rsidRDefault="00FA3560" w:rsidP="00FA3560">
      <w:pPr>
        <w:pStyle w:val="Lev1Text"/>
        <w:rPr>
          <w:rFonts w:ascii="Arial" w:hAnsi="Arial" w:cs="Arial"/>
        </w:rPr>
      </w:pPr>
    </w:p>
    <w:sectPr w:rsidR="00FA3560" w:rsidRPr="006366AE" w:rsidSect="00FD68AC">
      <w:footerReference w:type="default" r:id="rId11"/>
      <w:pgSz w:w="11910" w:h="16840"/>
      <w:pgMar w:top="1040" w:right="460" w:bottom="1240" w:left="460" w:header="0" w:footer="9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E31B24" w14:textId="77777777" w:rsidR="00062994" w:rsidRDefault="00062994" w:rsidP="00FB1F6E">
      <w:r>
        <w:separator/>
      </w:r>
    </w:p>
  </w:endnote>
  <w:endnote w:type="continuationSeparator" w:id="0">
    <w:p w14:paraId="40045961" w14:textId="77777777" w:rsidR="00062994" w:rsidRDefault="00062994" w:rsidP="00FB1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rPr>
      <w:id w:val="1948888086"/>
      <w:docPartObj>
        <w:docPartGallery w:val="Page Numbers (Bottom of Page)"/>
        <w:docPartUnique/>
      </w:docPartObj>
    </w:sdtPr>
    <w:sdtEndPr>
      <w:rPr>
        <w:noProof/>
      </w:rPr>
    </w:sdtEndPr>
    <w:sdtContent>
      <w:p w14:paraId="13F0AD58" w14:textId="78E0D361" w:rsidR="00FB1F6E" w:rsidRPr="00FB1F6E" w:rsidRDefault="00FB1F6E">
        <w:pPr>
          <w:pStyle w:val="Footer"/>
          <w:rPr>
            <w:rFonts w:ascii="Arial" w:hAnsi="Arial" w:cs="Arial"/>
            <w:sz w:val="20"/>
          </w:rPr>
        </w:pPr>
        <w:r w:rsidRPr="00FB1F6E">
          <w:rPr>
            <w:rFonts w:ascii="Arial" w:hAnsi="Arial" w:cs="Arial"/>
            <w:sz w:val="20"/>
          </w:rPr>
          <w:fldChar w:fldCharType="begin"/>
        </w:r>
        <w:r w:rsidRPr="00FB1F6E">
          <w:rPr>
            <w:rFonts w:ascii="Arial" w:hAnsi="Arial" w:cs="Arial"/>
            <w:sz w:val="20"/>
          </w:rPr>
          <w:instrText xml:space="preserve"> PAGE   \* MERGEFORMAT </w:instrText>
        </w:r>
        <w:r w:rsidRPr="00FB1F6E">
          <w:rPr>
            <w:rFonts w:ascii="Arial" w:hAnsi="Arial" w:cs="Arial"/>
            <w:sz w:val="20"/>
          </w:rPr>
          <w:fldChar w:fldCharType="separate"/>
        </w:r>
        <w:r w:rsidR="00AA0154">
          <w:rPr>
            <w:rFonts w:ascii="Arial" w:hAnsi="Arial" w:cs="Arial"/>
            <w:noProof/>
            <w:sz w:val="20"/>
          </w:rPr>
          <w:t>1</w:t>
        </w:r>
        <w:r w:rsidRPr="00FB1F6E">
          <w:rPr>
            <w:rFonts w:ascii="Arial" w:hAnsi="Arial" w:cs="Arial"/>
            <w:noProof/>
            <w:sz w:val="20"/>
          </w:rPr>
          <w:fldChar w:fldCharType="end"/>
        </w:r>
        <w:r w:rsidRPr="00FB1F6E">
          <w:rPr>
            <w:rFonts w:ascii="Arial" w:hAnsi="Arial" w:cs="Arial"/>
            <w:noProof/>
            <w:sz w:val="20"/>
          </w:rPr>
          <w:tab/>
        </w:r>
        <w:r w:rsidRPr="00FB1F6E">
          <w:rPr>
            <w:rFonts w:ascii="Arial" w:hAnsi="Arial" w:cs="Arial"/>
            <w:noProof/>
            <w:sz w:val="20"/>
          </w:rPr>
          <w:tab/>
        </w:r>
        <w:r w:rsidRPr="00FB1F6E">
          <w:rPr>
            <w:rFonts w:ascii="Arial" w:hAnsi="Arial" w:cs="Arial"/>
            <w:noProof/>
            <w:sz w:val="20"/>
          </w:rPr>
          <w:tab/>
        </w:r>
        <w:r w:rsidR="00522F2F">
          <w:rPr>
            <w:rFonts w:ascii="Arial" w:hAnsi="Arial" w:cs="Arial"/>
            <w:noProof/>
            <w:sz w:val="20"/>
          </w:rPr>
          <w:t xml:space="preserve">November </w:t>
        </w:r>
        <w:r w:rsidR="00AA0154">
          <w:rPr>
            <w:rFonts w:ascii="Arial" w:hAnsi="Arial" w:cs="Arial"/>
            <w:noProof/>
            <w:sz w:val="20"/>
          </w:rPr>
          <w:t>2021</w:t>
        </w:r>
      </w:p>
    </w:sdtContent>
  </w:sdt>
  <w:p w14:paraId="57DB9EC9" w14:textId="77777777" w:rsidR="00FB1F6E" w:rsidRDefault="00FB1F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2248C8" w14:textId="77777777" w:rsidR="00062994" w:rsidRDefault="00062994" w:rsidP="00FB1F6E">
      <w:r>
        <w:separator/>
      </w:r>
    </w:p>
  </w:footnote>
  <w:footnote w:type="continuationSeparator" w:id="0">
    <w:p w14:paraId="7E1AA9BC" w14:textId="77777777" w:rsidR="00062994" w:rsidRDefault="00062994" w:rsidP="00FB1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lowerLetter"/>
      <w:lvlText w:val="(%1)"/>
      <w:lvlJc w:val="left"/>
      <w:pPr>
        <w:ind w:left="952" w:hanging="850"/>
      </w:pPr>
      <w:rPr>
        <w:rFonts w:ascii="Times New Roman" w:hAnsi="Times New Roman" w:cs="Times New Roman"/>
        <w:b w:val="0"/>
        <w:bCs w:val="0"/>
        <w:spacing w:val="-18"/>
        <w:w w:val="99"/>
        <w:sz w:val="24"/>
        <w:szCs w:val="24"/>
      </w:rPr>
    </w:lvl>
    <w:lvl w:ilvl="1">
      <w:numFmt w:val="bullet"/>
      <w:lvlText w:val="•"/>
      <w:lvlJc w:val="left"/>
      <w:pPr>
        <w:ind w:left="1598" w:hanging="850"/>
      </w:pPr>
    </w:lvl>
    <w:lvl w:ilvl="2">
      <w:numFmt w:val="bullet"/>
      <w:lvlText w:val="•"/>
      <w:lvlJc w:val="left"/>
      <w:pPr>
        <w:ind w:left="2236" w:hanging="850"/>
      </w:pPr>
    </w:lvl>
    <w:lvl w:ilvl="3">
      <w:numFmt w:val="bullet"/>
      <w:lvlText w:val="•"/>
      <w:lvlJc w:val="left"/>
      <w:pPr>
        <w:ind w:left="2874" w:hanging="850"/>
      </w:pPr>
    </w:lvl>
    <w:lvl w:ilvl="4">
      <w:numFmt w:val="bullet"/>
      <w:lvlText w:val="•"/>
      <w:lvlJc w:val="left"/>
      <w:pPr>
        <w:ind w:left="3512" w:hanging="850"/>
      </w:pPr>
    </w:lvl>
    <w:lvl w:ilvl="5">
      <w:numFmt w:val="bullet"/>
      <w:lvlText w:val="•"/>
      <w:lvlJc w:val="left"/>
      <w:pPr>
        <w:ind w:left="4151" w:hanging="850"/>
      </w:pPr>
    </w:lvl>
    <w:lvl w:ilvl="6">
      <w:numFmt w:val="bullet"/>
      <w:lvlText w:val="•"/>
      <w:lvlJc w:val="left"/>
      <w:pPr>
        <w:ind w:left="4789" w:hanging="850"/>
      </w:pPr>
    </w:lvl>
    <w:lvl w:ilvl="7">
      <w:numFmt w:val="bullet"/>
      <w:lvlText w:val="•"/>
      <w:lvlJc w:val="left"/>
      <w:pPr>
        <w:ind w:left="5427" w:hanging="850"/>
      </w:pPr>
    </w:lvl>
    <w:lvl w:ilvl="8">
      <w:numFmt w:val="bullet"/>
      <w:lvlText w:val="•"/>
      <w:lvlJc w:val="left"/>
      <w:pPr>
        <w:ind w:left="6065" w:hanging="850"/>
      </w:pPr>
    </w:lvl>
  </w:abstractNum>
  <w:abstractNum w:abstractNumId="1" w15:restartNumberingAfterBreak="0">
    <w:nsid w:val="03B31601"/>
    <w:multiLevelType w:val="hybridMultilevel"/>
    <w:tmpl w:val="C68EC2E0"/>
    <w:lvl w:ilvl="0" w:tplc="A452597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7A92CD42">
      <w:numFmt w:val="bullet"/>
      <w:lvlText w:val="•"/>
      <w:lvlJc w:val="left"/>
      <w:pPr>
        <w:ind w:left="1601" w:hanging="850"/>
      </w:pPr>
      <w:rPr>
        <w:rFonts w:hint="default"/>
      </w:rPr>
    </w:lvl>
    <w:lvl w:ilvl="2" w:tplc="E1505792">
      <w:numFmt w:val="bullet"/>
      <w:lvlText w:val="•"/>
      <w:lvlJc w:val="left"/>
      <w:pPr>
        <w:ind w:left="2242" w:hanging="850"/>
      </w:pPr>
      <w:rPr>
        <w:rFonts w:hint="default"/>
      </w:rPr>
    </w:lvl>
    <w:lvl w:ilvl="3" w:tplc="D2523C30">
      <w:numFmt w:val="bullet"/>
      <w:lvlText w:val="•"/>
      <w:lvlJc w:val="left"/>
      <w:pPr>
        <w:ind w:left="2883" w:hanging="850"/>
      </w:pPr>
      <w:rPr>
        <w:rFonts w:hint="default"/>
      </w:rPr>
    </w:lvl>
    <w:lvl w:ilvl="4" w:tplc="66B478FA">
      <w:numFmt w:val="bullet"/>
      <w:lvlText w:val="•"/>
      <w:lvlJc w:val="left"/>
      <w:pPr>
        <w:ind w:left="3524" w:hanging="850"/>
      </w:pPr>
      <w:rPr>
        <w:rFonts w:hint="default"/>
      </w:rPr>
    </w:lvl>
    <w:lvl w:ilvl="5" w:tplc="69DA2730">
      <w:numFmt w:val="bullet"/>
      <w:lvlText w:val="•"/>
      <w:lvlJc w:val="left"/>
      <w:pPr>
        <w:ind w:left="4166" w:hanging="850"/>
      </w:pPr>
      <w:rPr>
        <w:rFonts w:hint="default"/>
      </w:rPr>
    </w:lvl>
    <w:lvl w:ilvl="6" w:tplc="C0088AC0">
      <w:numFmt w:val="bullet"/>
      <w:lvlText w:val="•"/>
      <w:lvlJc w:val="left"/>
      <w:pPr>
        <w:ind w:left="4807" w:hanging="850"/>
      </w:pPr>
      <w:rPr>
        <w:rFonts w:hint="default"/>
      </w:rPr>
    </w:lvl>
    <w:lvl w:ilvl="7" w:tplc="79669A96">
      <w:numFmt w:val="bullet"/>
      <w:lvlText w:val="•"/>
      <w:lvlJc w:val="left"/>
      <w:pPr>
        <w:ind w:left="5448" w:hanging="850"/>
      </w:pPr>
      <w:rPr>
        <w:rFonts w:hint="default"/>
      </w:rPr>
    </w:lvl>
    <w:lvl w:ilvl="8" w:tplc="185E2448">
      <w:numFmt w:val="bullet"/>
      <w:lvlText w:val="•"/>
      <w:lvlJc w:val="left"/>
      <w:pPr>
        <w:ind w:left="6089" w:hanging="850"/>
      </w:pPr>
      <w:rPr>
        <w:rFonts w:hint="default"/>
      </w:rPr>
    </w:lvl>
  </w:abstractNum>
  <w:abstractNum w:abstractNumId="2" w15:restartNumberingAfterBreak="0">
    <w:nsid w:val="0E1C00D7"/>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61B3D"/>
    <w:multiLevelType w:val="hybridMultilevel"/>
    <w:tmpl w:val="50181CC0"/>
    <w:lvl w:ilvl="0" w:tplc="605C3F8E">
      <w:start w:val="1"/>
      <w:numFmt w:val="lowerRoman"/>
      <w:lvlText w:val="(%1)"/>
      <w:lvlJc w:val="left"/>
      <w:pPr>
        <w:ind w:left="1520" w:hanging="568"/>
      </w:pPr>
      <w:rPr>
        <w:rFonts w:ascii="Times New Roman" w:eastAsia="Times New Roman" w:hAnsi="Times New Roman" w:cs="Times New Roman" w:hint="default"/>
        <w:spacing w:val="-20"/>
        <w:w w:val="99"/>
        <w:sz w:val="24"/>
        <w:szCs w:val="24"/>
      </w:rPr>
    </w:lvl>
    <w:lvl w:ilvl="1" w:tplc="79E241B6">
      <w:numFmt w:val="bullet"/>
      <w:lvlText w:val="•"/>
      <w:lvlJc w:val="left"/>
      <w:pPr>
        <w:ind w:left="2105" w:hanging="568"/>
      </w:pPr>
      <w:rPr>
        <w:rFonts w:hint="default"/>
      </w:rPr>
    </w:lvl>
    <w:lvl w:ilvl="2" w:tplc="53460552">
      <w:numFmt w:val="bullet"/>
      <w:lvlText w:val="•"/>
      <w:lvlJc w:val="left"/>
      <w:pPr>
        <w:ind w:left="2690" w:hanging="568"/>
      </w:pPr>
      <w:rPr>
        <w:rFonts w:hint="default"/>
      </w:rPr>
    </w:lvl>
    <w:lvl w:ilvl="3" w:tplc="664CF2E0">
      <w:numFmt w:val="bullet"/>
      <w:lvlText w:val="•"/>
      <w:lvlJc w:val="left"/>
      <w:pPr>
        <w:ind w:left="3275" w:hanging="568"/>
      </w:pPr>
      <w:rPr>
        <w:rFonts w:hint="default"/>
      </w:rPr>
    </w:lvl>
    <w:lvl w:ilvl="4" w:tplc="46AC8AD8">
      <w:numFmt w:val="bullet"/>
      <w:lvlText w:val="•"/>
      <w:lvlJc w:val="left"/>
      <w:pPr>
        <w:ind w:left="3860" w:hanging="568"/>
      </w:pPr>
      <w:rPr>
        <w:rFonts w:hint="default"/>
      </w:rPr>
    </w:lvl>
    <w:lvl w:ilvl="5" w:tplc="111CB722">
      <w:numFmt w:val="bullet"/>
      <w:lvlText w:val="•"/>
      <w:lvlJc w:val="left"/>
      <w:pPr>
        <w:ind w:left="4446" w:hanging="568"/>
      </w:pPr>
      <w:rPr>
        <w:rFonts w:hint="default"/>
      </w:rPr>
    </w:lvl>
    <w:lvl w:ilvl="6" w:tplc="361C4F86">
      <w:numFmt w:val="bullet"/>
      <w:lvlText w:val="•"/>
      <w:lvlJc w:val="left"/>
      <w:pPr>
        <w:ind w:left="5031" w:hanging="568"/>
      </w:pPr>
      <w:rPr>
        <w:rFonts w:hint="default"/>
      </w:rPr>
    </w:lvl>
    <w:lvl w:ilvl="7" w:tplc="33441272">
      <w:numFmt w:val="bullet"/>
      <w:lvlText w:val="•"/>
      <w:lvlJc w:val="left"/>
      <w:pPr>
        <w:ind w:left="5616" w:hanging="568"/>
      </w:pPr>
      <w:rPr>
        <w:rFonts w:hint="default"/>
      </w:rPr>
    </w:lvl>
    <w:lvl w:ilvl="8" w:tplc="E8AA45A6">
      <w:numFmt w:val="bullet"/>
      <w:lvlText w:val="•"/>
      <w:lvlJc w:val="left"/>
      <w:pPr>
        <w:ind w:left="6201" w:hanging="568"/>
      </w:pPr>
      <w:rPr>
        <w:rFonts w:hint="default"/>
      </w:rPr>
    </w:lvl>
  </w:abstractNum>
  <w:abstractNum w:abstractNumId="4" w15:restartNumberingAfterBreak="0">
    <w:nsid w:val="1C673F74"/>
    <w:multiLevelType w:val="hybridMultilevel"/>
    <w:tmpl w:val="321846BC"/>
    <w:lvl w:ilvl="0" w:tplc="61F0A3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DC6AD3"/>
    <w:multiLevelType w:val="hybridMultilevel"/>
    <w:tmpl w:val="55CCC42E"/>
    <w:lvl w:ilvl="0" w:tplc="63DEB62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E3BAE"/>
    <w:multiLevelType w:val="hybridMultilevel"/>
    <w:tmpl w:val="96BC3050"/>
    <w:lvl w:ilvl="0" w:tplc="D4708326">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E838438A">
      <w:numFmt w:val="bullet"/>
      <w:lvlText w:val="•"/>
      <w:lvlJc w:val="left"/>
      <w:pPr>
        <w:ind w:left="1601" w:hanging="850"/>
      </w:pPr>
      <w:rPr>
        <w:rFonts w:hint="default"/>
      </w:rPr>
    </w:lvl>
    <w:lvl w:ilvl="2" w:tplc="9C084626">
      <w:numFmt w:val="bullet"/>
      <w:lvlText w:val="•"/>
      <w:lvlJc w:val="left"/>
      <w:pPr>
        <w:ind w:left="2242" w:hanging="850"/>
      </w:pPr>
      <w:rPr>
        <w:rFonts w:hint="default"/>
      </w:rPr>
    </w:lvl>
    <w:lvl w:ilvl="3" w:tplc="768A0E6E">
      <w:numFmt w:val="bullet"/>
      <w:lvlText w:val="•"/>
      <w:lvlJc w:val="left"/>
      <w:pPr>
        <w:ind w:left="2883" w:hanging="850"/>
      </w:pPr>
      <w:rPr>
        <w:rFonts w:hint="default"/>
      </w:rPr>
    </w:lvl>
    <w:lvl w:ilvl="4" w:tplc="D4D2045C">
      <w:numFmt w:val="bullet"/>
      <w:lvlText w:val="•"/>
      <w:lvlJc w:val="left"/>
      <w:pPr>
        <w:ind w:left="3524" w:hanging="850"/>
      </w:pPr>
      <w:rPr>
        <w:rFonts w:hint="default"/>
      </w:rPr>
    </w:lvl>
    <w:lvl w:ilvl="5" w:tplc="AAA4F3A0">
      <w:numFmt w:val="bullet"/>
      <w:lvlText w:val="•"/>
      <w:lvlJc w:val="left"/>
      <w:pPr>
        <w:ind w:left="4166" w:hanging="850"/>
      </w:pPr>
      <w:rPr>
        <w:rFonts w:hint="default"/>
      </w:rPr>
    </w:lvl>
    <w:lvl w:ilvl="6" w:tplc="F41444E0">
      <w:numFmt w:val="bullet"/>
      <w:lvlText w:val="•"/>
      <w:lvlJc w:val="left"/>
      <w:pPr>
        <w:ind w:left="4807" w:hanging="850"/>
      </w:pPr>
      <w:rPr>
        <w:rFonts w:hint="default"/>
      </w:rPr>
    </w:lvl>
    <w:lvl w:ilvl="7" w:tplc="B0509676">
      <w:numFmt w:val="bullet"/>
      <w:lvlText w:val="•"/>
      <w:lvlJc w:val="left"/>
      <w:pPr>
        <w:ind w:left="5448" w:hanging="850"/>
      </w:pPr>
      <w:rPr>
        <w:rFonts w:hint="default"/>
      </w:rPr>
    </w:lvl>
    <w:lvl w:ilvl="8" w:tplc="B8564416">
      <w:numFmt w:val="bullet"/>
      <w:lvlText w:val="•"/>
      <w:lvlJc w:val="left"/>
      <w:pPr>
        <w:ind w:left="6089" w:hanging="850"/>
      </w:pPr>
      <w:rPr>
        <w:rFonts w:hint="default"/>
      </w:rPr>
    </w:lvl>
  </w:abstractNum>
  <w:abstractNum w:abstractNumId="7" w15:restartNumberingAfterBreak="0">
    <w:nsid w:val="23733104"/>
    <w:multiLevelType w:val="hybridMultilevel"/>
    <w:tmpl w:val="4F1435E8"/>
    <w:lvl w:ilvl="0" w:tplc="7CC068CE">
      <w:start w:val="1"/>
      <w:numFmt w:val="lowerLetter"/>
      <w:lvlText w:val="(%1)"/>
      <w:lvlJc w:val="left"/>
      <w:pPr>
        <w:ind w:left="952" w:hanging="850"/>
      </w:pPr>
      <w:rPr>
        <w:rFonts w:ascii="Times New Roman" w:eastAsia="Times New Roman" w:hAnsi="Times New Roman" w:cs="Times New Roman" w:hint="default"/>
        <w:spacing w:val="-21"/>
        <w:w w:val="99"/>
        <w:sz w:val="24"/>
        <w:szCs w:val="24"/>
      </w:rPr>
    </w:lvl>
    <w:lvl w:ilvl="1" w:tplc="18B2EAAC">
      <w:numFmt w:val="bullet"/>
      <w:lvlText w:val="•"/>
      <w:lvlJc w:val="left"/>
      <w:pPr>
        <w:ind w:left="1601" w:hanging="850"/>
      </w:pPr>
      <w:rPr>
        <w:rFonts w:hint="default"/>
      </w:rPr>
    </w:lvl>
    <w:lvl w:ilvl="2" w:tplc="58E26A4A">
      <w:numFmt w:val="bullet"/>
      <w:lvlText w:val="•"/>
      <w:lvlJc w:val="left"/>
      <w:pPr>
        <w:ind w:left="2242" w:hanging="850"/>
      </w:pPr>
      <w:rPr>
        <w:rFonts w:hint="default"/>
      </w:rPr>
    </w:lvl>
    <w:lvl w:ilvl="3" w:tplc="0420C2E2">
      <w:numFmt w:val="bullet"/>
      <w:lvlText w:val="•"/>
      <w:lvlJc w:val="left"/>
      <w:pPr>
        <w:ind w:left="2883" w:hanging="850"/>
      </w:pPr>
      <w:rPr>
        <w:rFonts w:hint="default"/>
      </w:rPr>
    </w:lvl>
    <w:lvl w:ilvl="4" w:tplc="DD5E00D2">
      <w:numFmt w:val="bullet"/>
      <w:lvlText w:val="•"/>
      <w:lvlJc w:val="left"/>
      <w:pPr>
        <w:ind w:left="3524" w:hanging="850"/>
      </w:pPr>
      <w:rPr>
        <w:rFonts w:hint="default"/>
      </w:rPr>
    </w:lvl>
    <w:lvl w:ilvl="5" w:tplc="F33864A0">
      <w:numFmt w:val="bullet"/>
      <w:lvlText w:val="•"/>
      <w:lvlJc w:val="left"/>
      <w:pPr>
        <w:ind w:left="4166" w:hanging="850"/>
      </w:pPr>
      <w:rPr>
        <w:rFonts w:hint="default"/>
      </w:rPr>
    </w:lvl>
    <w:lvl w:ilvl="6" w:tplc="B590D7E2">
      <w:numFmt w:val="bullet"/>
      <w:lvlText w:val="•"/>
      <w:lvlJc w:val="left"/>
      <w:pPr>
        <w:ind w:left="4807" w:hanging="850"/>
      </w:pPr>
      <w:rPr>
        <w:rFonts w:hint="default"/>
      </w:rPr>
    </w:lvl>
    <w:lvl w:ilvl="7" w:tplc="7A8CE2E8">
      <w:numFmt w:val="bullet"/>
      <w:lvlText w:val="•"/>
      <w:lvlJc w:val="left"/>
      <w:pPr>
        <w:ind w:left="5448" w:hanging="850"/>
      </w:pPr>
      <w:rPr>
        <w:rFonts w:hint="default"/>
      </w:rPr>
    </w:lvl>
    <w:lvl w:ilvl="8" w:tplc="84123502">
      <w:numFmt w:val="bullet"/>
      <w:lvlText w:val="•"/>
      <w:lvlJc w:val="left"/>
      <w:pPr>
        <w:ind w:left="6089" w:hanging="850"/>
      </w:pPr>
      <w:rPr>
        <w:rFonts w:hint="default"/>
      </w:rPr>
    </w:lvl>
  </w:abstractNum>
  <w:abstractNum w:abstractNumId="8" w15:restartNumberingAfterBreak="0">
    <w:nsid w:val="26C622F8"/>
    <w:multiLevelType w:val="hybridMultilevel"/>
    <w:tmpl w:val="4A4A6044"/>
    <w:lvl w:ilvl="0" w:tplc="61F0A3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E25F83"/>
    <w:multiLevelType w:val="hybridMultilevel"/>
    <w:tmpl w:val="1EC49E46"/>
    <w:lvl w:ilvl="0" w:tplc="61F0A3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2B23D7"/>
    <w:multiLevelType w:val="hybridMultilevel"/>
    <w:tmpl w:val="58E48A08"/>
    <w:lvl w:ilvl="0" w:tplc="D586F332">
      <w:start w:val="1"/>
      <w:numFmt w:val="lowerLetter"/>
      <w:lvlText w:val="(%1)"/>
      <w:lvlJc w:val="left"/>
      <w:pPr>
        <w:ind w:left="952" w:hanging="850"/>
      </w:pPr>
      <w:rPr>
        <w:rFonts w:ascii="Times New Roman" w:eastAsia="Times New Roman" w:hAnsi="Times New Roman" w:cs="Times New Roman" w:hint="default"/>
        <w:spacing w:val="-18"/>
        <w:w w:val="99"/>
        <w:sz w:val="24"/>
        <w:szCs w:val="24"/>
      </w:rPr>
    </w:lvl>
    <w:lvl w:ilvl="1" w:tplc="6B7E6182">
      <w:numFmt w:val="bullet"/>
      <w:lvlText w:val="•"/>
      <w:lvlJc w:val="left"/>
      <w:pPr>
        <w:ind w:left="1601" w:hanging="850"/>
      </w:pPr>
      <w:rPr>
        <w:rFonts w:hint="default"/>
      </w:rPr>
    </w:lvl>
    <w:lvl w:ilvl="2" w:tplc="3E3C032E">
      <w:numFmt w:val="bullet"/>
      <w:lvlText w:val="•"/>
      <w:lvlJc w:val="left"/>
      <w:pPr>
        <w:ind w:left="2242" w:hanging="850"/>
      </w:pPr>
      <w:rPr>
        <w:rFonts w:hint="default"/>
      </w:rPr>
    </w:lvl>
    <w:lvl w:ilvl="3" w:tplc="4D5E9E00">
      <w:numFmt w:val="bullet"/>
      <w:lvlText w:val="•"/>
      <w:lvlJc w:val="left"/>
      <w:pPr>
        <w:ind w:left="2883" w:hanging="850"/>
      </w:pPr>
      <w:rPr>
        <w:rFonts w:hint="default"/>
      </w:rPr>
    </w:lvl>
    <w:lvl w:ilvl="4" w:tplc="CE6A38F4">
      <w:numFmt w:val="bullet"/>
      <w:lvlText w:val="•"/>
      <w:lvlJc w:val="left"/>
      <w:pPr>
        <w:ind w:left="3524" w:hanging="850"/>
      </w:pPr>
      <w:rPr>
        <w:rFonts w:hint="default"/>
      </w:rPr>
    </w:lvl>
    <w:lvl w:ilvl="5" w:tplc="7C2C2BC2">
      <w:numFmt w:val="bullet"/>
      <w:lvlText w:val="•"/>
      <w:lvlJc w:val="left"/>
      <w:pPr>
        <w:ind w:left="4166" w:hanging="850"/>
      </w:pPr>
      <w:rPr>
        <w:rFonts w:hint="default"/>
      </w:rPr>
    </w:lvl>
    <w:lvl w:ilvl="6" w:tplc="289AF61A">
      <w:numFmt w:val="bullet"/>
      <w:lvlText w:val="•"/>
      <w:lvlJc w:val="left"/>
      <w:pPr>
        <w:ind w:left="4807" w:hanging="850"/>
      </w:pPr>
      <w:rPr>
        <w:rFonts w:hint="default"/>
      </w:rPr>
    </w:lvl>
    <w:lvl w:ilvl="7" w:tplc="E08C0062">
      <w:numFmt w:val="bullet"/>
      <w:lvlText w:val="•"/>
      <w:lvlJc w:val="left"/>
      <w:pPr>
        <w:ind w:left="5448" w:hanging="850"/>
      </w:pPr>
      <w:rPr>
        <w:rFonts w:hint="default"/>
      </w:rPr>
    </w:lvl>
    <w:lvl w:ilvl="8" w:tplc="FF5AAD52">
      <w:numFmt w:val="bullet"/>
      <w:lvlText w:val="•"/>
      <w:lvlJc w:val="left"/>
      <w:pPr>
        <w:ind w:left="6089" w:hanging="850"/>
      </w:pPr>
      <w:rPr>
        <w:rFonts w:hint="default"/>
      </w:rPr>
    </w:lvl>
  </w:abstractNum>
  <w:abstractNum w:abstractNumId="11" w15:restartNumberingAfterBreak="0">
    <w:nsid w:val="33493745"/>
    <w:multiLevelType w:val="hybridMultilevel"/>
    <w:tmpl w:val="3D2AC052"/>
    <w:lvl w:ilvl="0" w:tplc="B9DE209A">
      <w:start w:val="1"/>
      <w:numFmt w:val="lowerLetter"/>
      <w:lvlText w:val="(%1)"/>
      <w:lvlJc w:val="left"/>
      <w:pPr>
        <w:ind w:left="952" w:hanging="850"/>
      </w:pPr>
      <w:rPr>
        <w:rFonts w:ascii="Times New Roman" w:eastAsia="Times New Roman" w:hAnsi="Times New Roman" w:cs="Times New Roman" w:hint="default"/>
        <w:spacing w:val="-1"/>
        <w:w w:val="99"/>
        <w:sz w:val="24"/>
        <w:szCs w:val="24"/>
      </w:rPr>
    </w:lvl>
    <w:lvl w:ilvl="1" w:tplc="18CA67F4">
      <w:numFmt w:val="bullet"/>
      <w:lvlText w:val="•"/>
      <w:lvlJc w:val="left"/>
      <w:pPr>
        <w:ind w:left="1601" w:hanging="850"/>
      </w:pPr>
      <w:rPr>
        <w:rFonts w:hint="default"/>
      </w:rPr>
    </w:lvl>
    <w:lvl w:ilvl="2" w:tplc="827C4930">
      <w:numFmt w:val="bullet"/>
      <w:lvlText w:val="•"/>
      <w:lvlJc w:val="left"/>
      <w:pPr>
        <w:ind w:left="2242" w:hanging="850"/>
      </w:pPr>
      <w:rPr>
        <w:rFonts w:hint="default"/>
      </w:rPr>
    </w:lvl>
    <w:lvl w:ilvl="3" w:tplc="332A51B0">
      <w:numFmt w:val="bullet"/>
      <w:lvlText w:val="•"/>
      <w:lvlJc w:val="left"/>
      <w:pPr>
        <w:ind w:left="2883" w:hanging="850"/>
      </w:pPr>
      <w:rPr>
        <w:rFonts w:hint="default"/>
      </w:rPr>
    </w:lvl>
    <w:lvl w:ilvl="4" w:tplc="39F00D50">
      <w:numFmt w:val="bullet"/>
      <w:lvlText w:val="•"/>
      <w:lvlJc w:val="left"/>
      <w:pPr>
        <w:ind w:left="3524" w:hanging="850"/>
      </w:pPr>
      <w:rPr>
        <w:rFonts w:hint="default"/>
      </w:rPr>
    </w:lvl>
    <w:lvl w:ilvl="5" w:tplc="185852D4">
      <w:numFmt w:val="bullet"/>
      <w:lvlText w:val="•"/>
      <w:lvlJc w:val="left"/>
      <w:pPr>
        <w:ind w:left="4166" w:hanging="850"/>
      </w:pPr>
      <w:rPr>
        <w:rFonts w:hint="default"/>
      </w:rPr>
    </w:lvl>
    <w:lvl w:ilvl="6" w:tplc="1F101DAC">
      <w:numFmt w:val="bullet"/>
      <w:lvlText w:val="•"/>
      <w:lvlJc w:val="left"/>
      <w:pPr>
        <w:ind w:left="4807" w:hanging="850"/>
      </w:pPr>
      <w:rPr>
        <w:rFonts w:hint="default"/>
      </w:rPr>
    </w:lvl>
    <w:lvl w:ilvl="7" w:tplc="C44293B4">
      <w:numFmt w:val="bullet"/>
      <w:lvlText w:val="•"/>
      <w:lvlJc w:val="left"/>
      <w:pPr>
        <w:ind w:left="5448" w:hanging="850"/>
      </w:pPr>
      <w:rPr>
        <w:rFonts w:hint="default"/>
      </w:rPr>
    </w:lvl>
    <w:lvl w:ilvl="8" w:tplc="D8A015EC">
      <w:numFmt w:val="bullet"/>
      <w:lvlText w:val="•"/>
      <w:lvlJc w:val="left"/>
      <w:pPr>
        <w:ind w:left="6089" w:hanging="850"/>
      </w:pPr>
      <w:rPr>
        <w:rFonts w:hint="default"/>
      </w:rPr>
    </w:lvl>
  </w:abstractNum>
  <w:abstractNum w:abstractNumId="12" w15:restartNumberingAfterBreak="0">
    <w:nsid w:val="39037792"/>
    <w:multiLevelType w:val="hybridMultilevel"/>
    <w:tmpl w:val="E3CC8E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B80663"/>
    <w:multiLevelType w:val="hybridMultilevel"/>
    <w:tmpl w:val="52F4CA2C"/>
    <w:lvl w:ilvl="0" w:tplc="61F0A3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BA416C"/>
    <w:multiLevelType w:val="hybridMultilevel"/>
    <w:tmpl w:val="82267F26"/>
    <w:lvl w:ilvl="0" w:tplc="5AD870E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5" w15:restartNumberingAfterBreak="0">
    <w:nsid w:val="3D302488"/>
    <w:multiLevelType w:val="hybridMultilevel"/>
    <w:tmpl w:val="63426D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B108C"/>
    <w:multiLevelType w:val="hybridMultilevel"/>
    <w:tmpl w:val="9B8E1DC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8520EC"/>
    <w:multiLevelType w:val="hybridMultilevel"/>
    <w:tmpl w:val="70086D30"/>
    <w:lvl w:ilvl="0" w:tplc="57BC1E24">
      <w:start w:val="2"/>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AACCE2D4">
      <w:numFmt w:val="bullet"/>
      <w:lvlText w:val="•"/>
      <w:lvlJc w:val="left"/>
      <w:pPr>
        <w:ind w:left="1601" w:hanging="850"/>
      </w:pPr>
      <w:rPr>
        <w:rFonts w:hint="default"/>
      </w:rPr>
    </w:lvl>
    <w:lvl w:ilvl="2" w:tplc="87985106">
      <w:numFmt w:val="bullet"/>
      <w:lvlText w:val="•"/>
      <w:lvlJc w:val="left"/>
      <w:pPr>
        <w:ind w:left="2242" w:hanging="850"/>
      </w:pPr>
      <w:rPr>
        <w:rFonts w:hint="default"/>
      </w:rPr>
    </w:lvl>
    <w:lvl w:ilvl="3" w:tplc="D38E8AAE">
      <w:numFmt w:val="bullet"/>
      <w:lvlText w:val="•"/>
      <w:lvlJc w:val="left"/>
      <w:pPr>
        <w:ind w:left="2883" w:hanging="850"/>
      </w:pPr>
      <w:rPr>
        <w:rFonts w:hint="default"/>
      </w:rPr>
    </w:lvl>
    <w:lvl w:ilvl="4" w:tplc="D72A14A2">
      <w:numFmt w:val="bullet"/>
      <w:lvlText w:val="•"/>
      <w:lvlJc w:val="left"/>
      <w:pPr>
        <w:ind w:left="3524" w:hanging="850"/>
      </w:pPr>
      <w:rPr>
        <w:rFonts w:hint="default"/>
      </w:rPr>
    </w:lvl>
    <w:lvl w:ilvl="5" w:tplc="E0EE9C4C">
      <w:numFmt w:val="bullet"/>
      <w:lvlText w:val="•"/>
      <w:lvlJc w:val="left"/>
      <w:pPr>
        <w:ind w:left="4166" w:hanging="850"/>
      </w:pPr>
      <w:rPr>
        <w:rFonts w:hint="default"/>
      </w:rPr>
    </w:lvl>
    <w:lvl w:ilvl="6" w:tplc="BCA48312">
      <w:numFmt w:val="bullet"/>
      <w:lvlText w:val="•"/>
      <w:lvlJc w:val="left"/>
      <w:pPr>
        <w:ind w:left="4807" w:hanging="850"/>
      </w:pPr>
      <w:rPr>
        <w:rFonts w:hint="default"/>
      </w:rPr>
    </w:lvl>
    <w:lvl w:ilvl="7" w:tplc="E54E8F72">
      <w:numFmt w:val="bullet"/>
      <w:lvlText w:val="•"/>
      <w:lvlJc w:val="left"/>
      <w:pPr>
        <w:ind w:left="5448" w:hanging="850"/>
      </w:pPr>
      <w:rPr>
        <w:rFonts w:hint="default"/>
      </w:rPr>
    </w:lvl>
    <w:lvl w:ilvl="8" w:tplc="A12ED1AC">
      <w:numFmt w:val="bullet"/>
      <w:lvlText w:val="•"/>
      <w:lvlJc w:val="left"/>
      <w:pPr>
        <w:ind w:left="6089" w:hanging="850"/>
      </w:pPr>
      <w:rPr>
        <w:rFonts w:hint="default"/>
      </w:rPr>
    </w:lvl>
  </w:abstractNum>
  <w:abstractNum w:abstractNumId="18" w15:restartNumberingAfterBreak="0">
    <w:nsid w:val="4DCF3FD9"/>
    <w:multiLevelType w:val="hybridMultilevel"/>
    <w:tmpl w:val="6B006C04"/>
    <w:lvl w:ilvl="0" w:tplc="61F0A3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1DA4D4A"/>
    <w:multiLevelType w:val="hybridMultilevel"/>
    <w:tmpl w:val="CE02A1A8"/>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2E6166B"/>
    <w:multiLevelType w:val="hybridMultilevel"/>
    <w:tmpl w:val="933CDBD0"/>
    <w:lvl w:ilvl="0" w:tplc="61F0A3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48617A"/>
    <w:multiLevelType w:val="hybridMultilevel"/>
    <w:tmpl w:val="87A07274"/>
    <w:lvl w:ilvl="0" w:tplc="6ECAA9E0">
      <w:start w:val="1"/>
      <w:numFmt w:val="lowerLetter"/>
      <w:lvlText w:val="(%1)"/>
      <w:lvlJc w:val="left"/>
      <w:pPr>
        <w:ind w:left="952" w:hanging="850"/>
      </w:pPr>
      <w:rPr>
        <w:rFonts w:ascii="Times New Roman" w:eastAsia="Times New Roman" w:hAnsi="Times New Roman" w:cs="Times New Roman" w:hint="default"/>
        <w:spacing w:val="-22"/>
        <w:w w:val="99"/>
        <w:sz w:val="24"/>
        <w:szCs w:val="24"/>
      </w:rPr>
    </w:lvl>
    <w:lvl w:ilvl="1" w:tplc="820A2F52">
      <w:numFmt w:val="bullet"/>
      <w:lvlText w:val="•"/>
      <w:lvlJc w:val="left"/>
      <w:pPr>
        <w:ind w:left="1601" w:hanging="850"/>
      </w:pPr>
      <w:rPr>
        <w:rFonts w:hint="default"/>
      </w:rPr>
    </w:lvl>
    <w:lvl w:ilvl="2" w:tplc="BF84A2E0">
      <w:numFmt w:val="bullet"/>
      <w:lvlText w:val="•"/>
      <w:lvlJc w:val="left"/>
      <w:pPr>
        <w:ind w:left="2242" w:hanging="850"/>
      </w:pPr>
      <w:rPr>
        <w:rFonts w:hint="default"/>
      </w:rPr>
    </w:lvl>
    <w:lvl w:ilvl="3" w:tplc="14509562">
      <w:numFmt w:val="bullet"/>
      <w:lvlText w:val="•"/>
      <w:lvlJc w:val="left"/>
      <w:pPr>
        <w:ind w:left="2883" w:hanging="850"/>
      </w:pPr>
      <w:rPr>
        <w:rFonts w:hint="default"/>
      </w:rPr>
    </w:lvl>
    <w:lvl w:ilvl="4" w:tplc="7BE818BA">
      <w:numFmt w:val="bullet"/>
      <w:lvlText w:val="•"/>
      <w:lvlJc w:val="left"/>
      <w:pPr>
        <w:ind w:left="3524" w:hanging="850"/>
      </w:pPr>
      <w:rPr>
        <w:rFonts w:hint="default"/>
      </w:rPr>
    </w:lvl>
    <w:lvl w:ilvl="5" w:tplc="F23699F4">
      <w:numFmt w:val="bullet"/>
      <w:lvlText w:val="•"/>
      <w:lvlJc w:val="left"/>
      <w:pPr>
        <w:ind w:left="4166" w:hanging="850"/>
      </w:pPr>
      <w:rPr>
        <w:rFonts w:hint="default"/>
      </w:rPr>
    </w:lvl>
    <w:lvl w:ilvl="6" w:tplc="C8E4850C">
      <w:numFmt w:val="bullet"/>
      <w:lvlText w:val="•"/>
      <w:lvlJc w:val="left"/>
      <w:pPr>
        <w:ind w:left="4807" w:hanging="850"/>
      </w:pPr>
      <w:rPr>
        <w:rFonts w:hint="default"/>
      </w:rPr>
    </w:lvl>
    <w:lvl w:ilvl="7" w:tplc="9B96376C">
      <w:numFmt w:val="bullet"/>
      <w:lvlText w:val="•"/>
      <w:lvlJc w:val="left"/>
      <w:pPr>
        <w:ind w:left="5448" w:hanging="850"/>
      </w:pPr>
      <w:rPr>
        <w:rFonts w:hint="default"/>
      </w:rPr>
    </w:lvl>
    <w:lvl w:ilvl="8" w:tplc="976EC95A">
      <w:numFmt w:val="bullet"/>
      <w:lvlText w:val="•"/>
      <w:lvlJc w:val="left"/>
      <w:pPr>
        <w:ind w:left="6089" w:hanging="850"/>
      </w:pPr>
      <w:rPr>
        <w:rFonts w:hint="default"/>
      </w:rPr>
    </w:lvl>
  </w:abstractNum>
  <w:abstractNum w:abstractNumId="22" w15:restartNumberingAfterBreak="0">
    <w:nsid w:val="554E53D2"/>
    <w:multiLevelType w:val="hybridMultilevel"/>
    <w:tmpl w:val="D4E63048"/>
    <w:lvl w:ilvl="0" w:tplc="61F0A3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6C4204"/>
    <w:multiLevelType w:val="hybridMultilevel"/>
    <w:tmpl w:val="AC4696B4"/>
    <w:lvl w:ilvl="0" w:tplc="F7C845A0">
      <w:start w:val="1"/>
      <w:numFmt w:val="lowerLetter"/>
      <w:lvlText w:val="(%1)"/>
      <w:lvlJc w:val="left"/>
      <w:pPr>
        <w:ind w:left="952" w:hanging="850"/>
      </w:pPr>
      <w:rPr>
        <w:rFonts w:ascii="Times New Roman" w:eastAsia="Times New Roman" w:hAnsi="Times New Roman" w:cs="Times New Roman" w:hint="default"/>
        <w:spacing w:val="-30"/>
        <w:w w:val="99"/>
        <w:sz w:val="24"/>
        <w:szCs w:val="24"/>
      </w:rPr>
    </w:lvl>
    <w:lvl w:ilvl="1" w:tplc="625A6AA4">
      <w:numFmt w:val="bullet"/>
      <w:lvlText w:val="•"/>
      <w:lvlJc w:val="left"/>
      <w:pPr>
        <w:ind w:left="1601" w:hanging="850"/>
      </w:pPr>
      <w:rPr>
        <w:rFonts w:hint="default"/>
      </w:rPr>
    </w:lvl>
    <w:lvl w:ilvl="2" w:tplc="83049B8E">
      <w:numFmt w:val="bullet"/>
      <w:lvlText w:val="•"/>
      <w:lvlJc w:val="left"/>
      <w:pPr>
        <w:ind w:left="2242" w:hanging="850"/>
      </w:pPr>
      <w:rPr>
        <w:rFonts w:hint="default"/>
      </w:rPr>
    </w:lvl>
    <w:lvl w:ilvl="3" w:tplc="153E313C">
      <w:numFmt w:val="bullet"/>
      <w:lvlText w:val="•"/>
      <w:lvlJc w:val="left"/>
      <w:pPr>
        <w:ind w:left="2883" w:hanging="850"/>
      </w:pPr>
      <w:rPr>
        <w:rFonts w:hint="default"/>
      </w:rPr>
    </w:lvl>
    <w:lvl w:ilvl="4" w:tplc="22E628FA">
      <w:numFmt w:val="bullet"/>
      <w:lvlText w:val="•"/>
      <w:lvlJc w:val="left"/>
      <w:pPr>
        <w:ind w:left="3524" w:hanging="850"/>
      </w:pPr>
      <w:rPr>
        <w:rFonts w:hint="default"/>
      </w:rPr>
    </w:lvl>
    <w:lvl w:ilvl="5" w:tplc="618A76B4">
      <w:numFmt w:val="bullet"/>
      <w:lvlText w:val="•"/>
      <w:lvlJc w:val="left"/>
      <w:pPr>
        <w:ind w:left="4166" w:hanging="850"/>
      </w:pPr>
      <w:rPr>
        <w:rFonts w:hint="default"/>
      </w:rPr>
    </w:lvl>
    <w:lvl w:ilvl="6" w:tplc="36388002">
      <w:numFmt w:val="bullet"/>
      <w:lvlText w:val="•"/>
      <w:lvlJc w:val="left"/>
      <w:pPr>
        <w:ind w:left="4807" w:hanging="850"/>
      </w:pPr>
      <w:rPr>
        <w:rFonts w:hint="default"/>
      </w:rPr>
    </w:lvl>
    <w:lvl w:ilvl="7" w:tplc="5A3C2B48">
      <w:numFmt w:val="bullet"/>
      <w:lvlText w:val="•"/>
      <w:lvlJc w:val="left"/>
      <w:pPr>
        <w:ind w:left="5448" w:hanging="850"/>
      </w:pPr>
      <w:rPr>
        <w:rFonts w:hint="default"/>
      </w:rPr>
    </w:lvl>
    <w:lvl w:ilvl="8" w:tplc="F4E6B14E">
      <w:numFmt w:val="bullet"/>
      <w:lvlText w:val="•"/>
      <w:lvlJc w:val="left"/>
      <w:pPr>
        <w:ind w:left="6089" w:hanging="850"/>
      </w:pPr>
      <w:rPr>
        <w:rFonts w:hint="default"/>
      </w:rPr>
    </w:lvl>
  </w:abstractNum>
  <w:abstractNum w:abstractNumId="24" w15:restartNumberingAfterBreak="0">
    <w:nsid w:val="5B905C7D"/>
    <w:multiLevelType w:val="hybridMultilevel"/>
    <w:tmpl w:val="57F24682"/>
    <w:lvl w:ilvl="0" w:tplc="5BA8A5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C403A1C"/>
    <w:multiLevelType w:val="hybridMultilevel"/>
    <w:tmpl w:val="ED52FE5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93452C"/>
    <w:multiLevelType w:val="hybridMultilevel"/>
    <w:tmpl w:val="C082D17E"/>
    <w:lvl w:ilvl="0" w:tplc="89ECBFE6">
      <w:start w:val="1"/>
      <w:numFmt w:val="lowerRoman"/>
      <w:lvlText w:val="(%1)"/>
      <w:lvlJc w:val="left"/>
      <w:pPr>
        <w:ind w:left="1520" w:hanging="568"/>
      </w:pPr>
      <w:rPr>
        <w:rFonts w:ascii="Times New Roman" w:eastAsia="Times New Roman" w:hAnsi="Times New Roman" w:cs="Times New Roman" w:hint="default"/>
        <w:spacing w:val="-3"/>
        <w:w w:val="99"/>
        <w:sz w:val="24"/>
        <w:szCs w:val="24"/>
      </w:rPr>
    </w:lvl>
    <w:lvl w:ilvl="1" w:tplc="6E2E5810">
      <w:numFmt w:val="bullet"/>
      <w:lvlText w:val="•"/>
      <w:lvlJc w:val="left"/>
      <w:pPr>
        <w:ind w:left="2105" w:hanging="568"/>
      </w:pPr>
      <w:rPr>
        <w:rFonts w:hint="default"/>
      </w:rPr>
    </w:lvl>
    <w:lvl w:ilvl="2" w:tplc="B9E4F08A">
      <w:numFmt w:val="bullet"/>
      <w:lvlText w:val="•"/>
      <w:lvlJc w:val="left"/>
      <w:pPr>
        <w:ind w:left="2690" w:hanging="568"/>
      </w:pPr>
      <w:rPr>
        <w:rFonts w:hint="default"/>
      </w:rPr>
    </w:lvl>
    <w:lvl w:ilvl="3" w:tplc="91C23E1C">
      <w:numFmt w:val="bullet"/>
      <w:lvlText w:val="•"/>
      <w:lvlJc w:val="left"/>
      <w:pPr>
        <w:ind w:left="3275" w:hanging="568"/>
      </w:pPr>
      <w:rPr>
        <w:rFonts w:hint="default"/>
      </w:rPr>
    </w:lvl>
    <w:lvl w:ilvl="4" w:tplc="047A3D0E">
      <w:numFmt w:val="bullet"/>
      <w:lvlText w:val="•"/>
      <w:lvlJc w:val="left"/>
      <w:pPr>
        <w:ind w:left="3860" w:hanging="568"/>
      </w:pPr>
      <w:rPr>
        <w:rFonts w:hint="default"/>
      </w:rPr>
    </w:lvl>
    <w:lvl w:ilvl="5" w:tplc="8DAEF13E">
      <w:numFmt w:val="bullet"/>
      <w:lvlText w:val="•"/>
      <w:lvlJc w:val="left"/>
      <w:pPr>
        <w:ind w:left="4446" w:hanging="568"/>
      </w:pPr>
      <w:rPr>
        <w:rFonts w:hint="default"/>
      </w:rPr>
    </w:lvl>
    <w:lvl w:ilvl="6" w:tplc="76A88B5C">
      <w:numFmt w:val="bullet"/>
      <w:lvlText w:val="•"/>
      <w:lvlJc w:val="left"/>
      <w:pPr>
        <w:ind w:left="5031" w:hanging="568"/>
      </w:pPr>
      <w:rPr>
        <w:rFonts w:hint="default"/>
      </w:rPr>
    </w:lvl>
    <w:lvl w:ilvl="7" w:tplc="C4823A40">
      <w:numFmt w:val="bullet"/>
      <w:lvlText w:val="•"/>
      <w:lvlJc w:val="left"/>
      <w:pPr>
        <w:ind w:left="5616" w:hanging="568"/>
      </w:pPr>
      <w:rPr>
        <w:rFonts w:hint="default"/>
      </w:rPr>
    </w:lvl>
    <w:lvl w:ilvl="8" w:tplc="0E42558E">
      <w:numFmt w:val="bullet"/>
      <w:lvlText w:val="•"/>
      <w:lvlJc w:val="left"/>
      <w:pPr>
        <w:ind w:left="6201" w:hanging="568"/>
      </w:pPr>
      <w:rPr>
        <w:rFonts w:hint="default"/>
      </w:rPr>
    </w:lvl>
  </w:abstractNum>
  <w:abstractNum w:abstractNumId="27" w15:restartNumberingAfterBreak="0">
    <w:nsid w:val="6BDD4019"/>
    <w:multiLevelType w:val="hybridMultilevel"/>
    <w:tmpl w:val="BFC44EF6"/>
    <w:lvl w:ilvl="0" w:tplc="61F0A3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C5C41AF"/>
    <w:multiLevelType w:val="hybridMultilevel"/>
    <w:tmpl w:val="B07897C0"/>
    <w:lvl w:ilvl="0" w:tplc="61F0A3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721443B4"/>
    <w:multiLevelType w:val="hybridMultilevel"/>
    <w:tmpl w:val="0DEA4516"/>
    <w:lvl w:ilvl="0" w:tplc="D8248F9A">
      <w:start w:val="1"/>
      <w:numFmt w:val="lowerLetter"/>
      <w:lvlText w:val="(%1)"/>
      <w:lvlJc w:val="left"/>
      <w:pPr>
        <w:ind w:left="952" w:hanging="850"/>
      </w:pPr>
      <w:rPr>
        <w:rFonts w:ascii="Times New Roman" w:eastAsia="Times New Roman" w:hAnsi="Times New Roman" w:cs="Times New Roman" w:hint="default"/>
        <w:spacing w:val="-2"/>
        <w:w w:val="99"/>
        <w:sz w:val="24"/>
        <w:szCs w:val="24"/>
      </w:rPr>
    </w:lvl>
    <w:lvl w:ilvl="1" w:tplc="87401AEC">
      <w:numFmt w:val="bullet"/>
      <w:lvlText w:val="•"/>
      <w:lvlJc w:val="left"/>
      <w:pPr>
        <w:ind w:left="1601" w:hanging="850"/>
      </w:pPr>
      <w:rPr>
        <w:rFonts w:hint="default"/>
      </w:rPr>
    </w:lvl>
    <w:lvl w:ilvl="2" w:tplc="34C4C42C">
      <w:numFmt w:val="bullet"/>
      <w:lvlText w:val="•"/>
      <w:lvlJc w:val="left"/>
      <w:pPr>
        <w:ind w:left="2242" w:hanging="850"/>
      </w:pPr>
      <w:rPr>
        <w:rFonts w:hint="default"/>
      </w:rPr>
    </w:lvl>
    <w:lvl w:ilvl="3" w:tplc="7EBA2626">
      <w:numFmt w:val="bullet"/>
      <w:lvlText w:val="•"/>
      <w:lvlJc w:val="left"/>
      <w:pPr>
        <w:ind w:left="2883" w:hanging="850"/>
      </w:pPr>
      <w:rPr>
        <w:rFonts w:hint="default"/>
      </w:rPr>
    </w:lvl>
    <w:lvl w:ilvl="4" w:tplc="FB92A698">
      <w:numFmt w:val="bullet"/>
      <w:lvlText w:val="•"/>
      <w:lvlJc w:val="left"/>
      <w:pPr>
        <w:ind w:left="3524" w:hanging="850"/>
      </w:pPr>
      <w:rPr>
        <w:rFonts w:hint="default"/>
      </w:rPr>
    </w:lvl>
    <w:lvl w:ilvl="5" w:tplc="977CD6F4">
      <w:numFmt w:val="bullet"/>
      <w:lvlText w:val="•"/>
      <w:lvlJc w:val="left"/>
      <w:pPr>
        <w:ind w:left="4166" w:hanging="850"/>
      </w:pPr>
      <w:rPr>
        <w:rFonts w:hint="default"/>
      </w:rPr>
    </w:lvl>
    <w:lvl w:ilvl="6" w:tplc="0DCCC354">
      <w:numFmt w:val="bullet"/>
      <w:lvlText w:val="•"/>
      <w:lvlJc w:val="left"/>
      <w:pPr>
        <w:ind w:left="4807" w:hanging="850"/>
      </w:pPr>
      <w:rPr>
        <w:rFonts w:hint="default"/>
      </w:rPr>
    </w:lvl>
    <w:lvl w:ilvl="7" w:tplc="2918EE42">
      <w:numFmt w:val="bullet"/>
      <w:lvlText w:val="•"/>
      <w:lvlJc w:val="left"/>
      <w:pPr>
        <w:ind w:left="5448" w:hanging="850"/>
      </w:pPr>
      <w:rPr>
        <w:rFonts w:hint="default"/>
      </w:rPr>
    </w:lvl>
    <w:lvl w:ilvl="8" w:tplc="06788668">
      <w:numFmt w:val="bullet"/>
      <w:lvlText w:val="•"/>
      <w:lvlJc w:val="left"/>
      <w:pPr>
        <w:ind w:left="6089" w:hanging="850"/>
      </w:pPr>
      <w:rPr>
        <w:rFonts w:hint="default"/>
      </w:rPr>
    </w:lvl>
  </w:abstractNum>
  <w:abstractNum w:abstractNumId="30" w15:restartNumberingAfterBreak="0">
    <w:nsid w:val="73374EB4"/>
    <w:multiLevelType w:val="hybridMultilevel"/>
    <w:tmpl w:val="27E009D0"/>
    <w:lvl w:ilvl="0" w:tplc="61F0A31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AD71CF"/>
    <w:multiLevelType w:val="hybridMultilevel"/>
    <w:tmpl w:val="9A542378"/>
    <w:lvl w:ilvl="0" w:tplc="DFEE5F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BB61FF"/>
    <w:multiLevelType w:val="hybridMultilevel"/>
    <w:tmpl w:val="34703330"/>
    <w:lvl w:ilvl="0" w:tplc="61F0A31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E666488"/>
    <w:multiLevelType w:val="hybridMultilevel"/>
    <w:tmpl w:val="23EEC3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EAA13B3"/>
    <w:multiLevelType w:val="hybridMultilevel"/>
    <w:tmpl w:val="DAE29360"/>
    <w:lvl w:ilvl="0" w:tplc="03147C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6"/>
  </w:num>
  <w:num w:numId="3">
    <w:abstractNumId w:val="23"/>
  </w:num>
  <w:num w:numId="4">
    <w:abstractNumId w:val="17"/>
  </w:num>
  <w:num w:numId="5">
    <w:abstractNumId w:val="7"/>
  </w:num>
  <w:num w:numId="6">
    <w:abstractNumId w:val="29"/>
  </w:num>
  <w:num w:numId="7">
    <w:abstractNumId w:val="21"/>
  </w:num>
  <w:num w:numId="8">
    <w:abstractNumId w:val="1"/>
  </w:num>
  <w:num w:numId="9">
    <w:abstractNumId w:val="3"/>
  </w:num>
  <w:num w:numId="10">
    <w:abstractNumId w:val="11"/>
  </w:num>
  <w:num w:numId="11">
    <w:abstractNumId w:val="6"/>
  </w:num>
  <w:num w:numId="12">
    <w:abstractNumId w:val="10"/>
  </w:num>
  <w:num w:numId="13">
    <w:abstractNumId w:val="25"/>
  </w:num>
  <w:num w:numId="14">
    <w:abstractNumId w:val="16"/>
  </w:num>
  <w:num w:numId="15">
    <w:abstractNumId w:val="2"/>
  </w:num>
  <w:num w:numId="16">
    <w:abstractNumId w:val="24"/>
  </w:num>
  <w:num w:numId="17">
    <w:abstractNumId w:val="14"/>
  </w:num>
  <w:num w:numId="18">
    <w:abstractNumId w:val="31"/>
  </w:num>
  <w:num w:numId="19">
    <w:abstractNumId w:val="19"/>
  </w:num>
  <w:num w:numId="20">
    <w:abstractNumId w:val="9"/>
  </w:num>
  <w:num w:numId="21">
    <w:abstractNumId w:val="20"/>
  </w:num>
  <w:num w:numId="22">
    <w:abstractNumId w:val="18"/>
  </w:num>
  <w:num w:numId="23">
    <w:abstractNumId w:val="4"/>
  </w:num>
  <w:num w:numId="24">
    <w:abstractNumId w:val="27"/>
  </w:num>
  <w:num w:numId="25">
    <w:abstractNumId w:val="22"/>
  </w:num>
  <w:num w:numId="26">
    <w:abstractNumId w:val="8"/>
  </w:num>
  <w:num w:numId="27">
    <w:abstractNumId w:val="30"/>
  </w:num>
  <w:num w:numId="28">
    <w:abstractNumId w:val="32"/>
  </w:num>
  <w:num w:numId="29">
    <w:abstractNumId w:val="13"/>
  </w:num>
  <w:num w:numId="30">
    <w:abstractNumId w:val="28"/>
  </w:num>
  <w:num w:numId="31">
    <w:abstractNumId w:val="15"/>
  </w:num>
  <w:num w:numId="32">
    <w:abstractNumId w:val="34"/>
  </w:num>
  <w:num w:numId="33">
    <w:abstractNumId w:val="12"/>
  </w:num>
  <w:num w:numId="34">
    <w:abstractNumId w:val="3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819"/>
    <w:rsid w:val="0000384C"/>
    <w:rsid w:val="00041329"/>
    <w:rsid w:val="00062994"/>
    <w:rsid w:val="000C04AD"/>
    <w:rsid w:val="000D42C9"/>
    <w:rsid w:val="000F12B6"/>
    <w:rsid w:val="00117D8B"/>
    <w:rsid w:val="00132691"/>
    <w:rsid w:val="00152770"/>
    <w:rsid w:val="00153A54"/>
    <w:rsid w:val="001A2B14"/>
    <w:rsid w:val="001A2FCD"/>
    <w:rsid w:val="001E392C"/>
    <w:rsid w:val="001F2425"/>
    <w:rsid w:val="001F2F40"/>
    <w:rsid w:val="00207400"/>
    <w:rsid w:val="00226ADF"/>
    <w:rsid w:val="00255963"/>
    <w:rsid w:val="002603CD"/>
    <w:rsid w:val="00277EA4"/>
    <w:rsid w:val="00286D8E"/>
    <w:rsid w:val="0029648B"/>
    <w:rsid w:val="00296BC5"/>
    <w:rsid w:val="002B3A3A"/>
    <w:rsid w:val="003636DA"/>
    <w:rsid w:val="003951ED"/>
    <w:rsid w:val="003A2132"/>
    <w:rsid w:val="003C38C4"/>
    <w:rsid w:val="004162D7"/>
    <w:rsid w:val="00417497"/>
    <w:rsid w:val="00484D19"/>
    <w:rsid w:val="004D02D7"/>
    <w:rsid w:val="004D205C"/>
    <w:rsid w:val="005128F7"/>
    <w:rsid w:val="00522F2F"/>
    <w:rsid w:val="00531A41"/>
    <w:rsid w:val="00572676"/>
    <w:rsid w:val="00584BF5"/>
    <w:rsid w:val="005D511B"/>
    <w:rsid w:val="005F59B5"/>
    <w:rsid w:val="006106E9"/>
    <w:rsid w:val="00631404"/>
    <w:rsid w:val="006366AE"/>
    <w:rsid w:val="00670DA3"/>
    <w:rsid w:val="006D3657"/>
    <w:rsid w:val="00705992"/>
    <w:rsid w:val="00712B00"/>
    <w:rsid w:val="0071674E"/>
    <w:rsid w:val="00743D12"/>
    <w:rsid w:val="007F1FBC"/>
    <w:rsid w:val="00830024"/>
    <w:rsid w:val="00861651"/>
    <w:rsid w:val="008E5D31"/>
    <w:rsid w:val="008F4819"/>
    <w:rsid w:val="009504D8"/>
    <w:rsid w:val="00977704"/>
    <w:rsid w:val="009C3D81"/>
    <w:rsid w:val="009D18F8"/>
    <w:rsid w:val="009D2F87"/>
    <w:rsid w:val="009F6F91"/>
    <w:rsid w:val="00A00063"/>
    <w:rsid w:val="00A373DE"/>
    <w:rsid w:val="00A87B25"/>
    <w:rsid w:val="00A910B2"/>
    <w:rsid w:val="00A9200E"/>
    <w:rsid w:val="00AA0154"/>
    <w:rsid w:val="00AB5CD8"/>
    <w:rsid w:val="00AF097D"/>
    <w:rsid w:val="00B1478A"/>
    <w:rsid w:val="00B23AB4"/>
    <w:rsid w:val="00BB2634"/>
    <w:rsid w:val="00BC690F"/>
    <w:rsid w:val="00BD4924"/>
    <w:rsid w:val="00C40AB9"/>
    <w:rsid w:val="00C46B0B"/>
    <w:rsid w:val="00CA11BE"/>
    <w:rsid w:val="00CA28DF"/>
    <w:rsid w:val="00CC4A36"/>
    <w:rsid w:val="00CD018A"/>
    <w:rsid w:val="00CD1558"/>
    <w:rsid w:val="00D026E8"/>
    <w:rsid w:val="00D27647"/>
    <w:rsid w:val="00D322CF"/>
    <w:rsid w:val="00D32888"/>
    <w:rsid w:val="00D65F6C"/>
    <w:rsid w:val="00D8044A"/>
    <w:rsid w:val="00DA54D3"/>
    <w:rsid w:val="00E0359F"/>
    <w:rsid w:val="00E05B08"/>
    <w:rsid w:val="00E23BA6"/>
    <w:rsid w:val="00E24EA9"/>
    <w:rsid w:val="00E40FE9"/>
    <w:rsid w:val="00EB322B"/>
    <w:rsid w:val="00EC1152"/>
    <w:rsid w:val="00ED2D43"/>
    <w:rsid w:val="00F56EC0"/>
    <w:rsid w:val="00F858A4"/>
    <w:rsid w:val="00FA0005"/>
    <w:rsid w:val="00FA3560"/>
    <w:rsid w:val="00FA5D12"/>
    <w:rsid w:val="00FB1F6E"/>
    <w:rsid w:val="00FB7237"/>
    <w:rsid w:val="00FD50D0"/>
    <w:rsid w:val="00FD6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DB80C"/>
  <w15:chartTrackingRefBased/>
  <w15:docId w15:val="{1BE8FB31-21AB-465A-9EEE-ABC21117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819"/>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F4819"/>
    <w:pPr>
      <w:spacing w:after="240"/>
    </w:pPr>
  </w:style>
  <w:style w:type="character" w:customStyle="1" w:styleId="BodyTextChar">
    <w:name w:val="Body Text Char"/>
    <w:basedOn w:val="DefaultParagraphFont"/>
    <w:link w:val="BodyText"/>
    <w:rsid w:val="008F4819"/>
    <w:rPr>
      <w:rFonts w:ascii="Times New Roman" w:eastAsia="Times New Roman" w:hAnsi="Times New Roman" w:cs="Times New Roman"/>
      <w:sz w:val="24"/>
      <w:szCs w:val="20"/>
      <w:lang w:eastAsia="en-GB"/>
    </w:rPr>
  </w:style>
  <w:style w:type="paragraph" w:styleId="Title">
    <w:name w:val="Title"/>
    <w:basedOn w:val="Normal"/>
    <w:next w:val="BodyText"/>
    <w:link w:val="TitleChar"/>
    <w:qFormat/>
    <w:rsid w:val="008F4819"/>
    <w:pPr>
      <w:keepNext/>
      <w:keepLines/>
      <w:spacing w:before="240" w:after="240"/>
      <w:jc w:val="center"/>
      <w:outlineLvl w:val="0"/>
    </w:pPr>
    <w:rPr>
      <w:b/>
    </w:rPr>
  </w:style>
  <w:style w:type="character" w:customStyle="1" w:styleId="TitleChar">
    <w:name w:val="Title Char"/>
    <w:basedOn w:val="DefaultParagraphFont"/>
    <w:link w:val="Title"/>
    <w:rsid w:val="008F4819"/>
    <w:rPr>
      <w:rFonts w:ascii="Times New Roman" w:eastAsia="Times New Roman" w:hAnsi="Times New Roman" w:cs="Times New Roman"/>
      <w:b/>
      <w:sz w:val="24"/>
      <w:szCs w:val="20"/>
      <w:lang w:eastAsia="en-GB"/>
    </w:rPr>
  </w:style>
  <w:style w:type="paragraph" w:customStyle="1" w:styleId="TableText">
    <w:name w:val="TableText"/>
    <w:rsid w:val="008F4819"/>
    <w:pPr>
      <w:spacing w:before="40" w:after="40" w:line="240" w:lineRule="auto"/>
    </w:pPr>
    <w:rPr>
      <w:rFonts w:ascii="Times New Roman" w:eastAsia="Times New Roman" w:hAnsi="Times New Roman" w:cs="Times New Roman"/>
      <w:szCs w:val="20"/>
      <w:lang w:eastAsia="en-GB"/>
    </w:rPr>
  </w:style>
  <w:style w:type="paragraph" w:customStyle="1" w:styleId="Lev1Text">
    <w:name w:val="Lev1Text"/>
    <w:rsid w:val="008F4819"/>
    <w:pPr>
      <w:spacing w:after="220" w:line="240" w:lineRule="auto"/>
      <w:jc w:val="both"/>
    </w:pPr>
    <w:rPr>
      <w:rFonts w:ascii="Times New Roman" w:eastAsia="Times New Roman" w:hAnsi="Times New Roman" w:cs="Times New Roman"/>
      <w:szCs w:val="20"/>
      <w:lang w:eastAsia="en-GB"/>
    </w:rPr>
  </w:style>
  <w:style w:type="paragraph" w:customStyle="1" w:styleId="TableParagraph">
    <w:name w:val="Table Paragraph"/>
    <w:basedOn w:val="Normal"/>
    <w:uiPriority w:val="1"/>
    <w:qFormat/>
    <w:rsid w:val="00FD68AC"/>
    <w:pPr>
      <w:autoSpaceDE w:val="0"/>
      <w:autoSpaceDN w:val="0"/>
      <w:adjustRightInd w:val="0"/>
      <w:spacing w:before="119"/>
      <w:ind w:left="103"/>
      <w:jc w:val="both"/>
    </w:pPr>
    <w:rPr>
      <w:rFonts w:eastAsiaTheme="minorHAnsi"/>
      <w:szCs w:val="24"/>
      <w:lang w:eastAsia="en-US"/>
    </w:rPr>
  </w:style>
  <w:style w:type="table" w:styleId="TableGrid">
    <w:name w:val="Table Grid"/>
    <w:basedOn w:val="TableNormal"/>
    <w:uiPriority w:val="39"/>
    <w:rsid w:val="00FB1F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1F6E"/>
    <w:pPr>
      <w:tabs>
        <w:tab w:val="center" w:pos="4513"/>
        <w:tab w:val="right" w:pos="9026"/>
      </w:tabs>
    </w:pPr>
  </w:style>
  <w:style w:type="character" w:customStyle="1" w:styleId="HeaderChar">
    <w:name w:val="Header Char"/>
    <w:basedOn w:val="DefaultParagraphFont"/>
    <w:link w:val="Header"/>
    <w:uiPriority w:val="99"/>
    <w:rsid w:val="00FB1F6E"/>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FB1F6E"/>
    <w:pPr>
      <w:tabs>
        <w:tab w:val="center" w:pos="4513"/>
        <w:tab w:val="right" w:pos="9026"/>
      </w:tabs>
    </w:pPr>
  </w:style>
  <w:style w:type="character" w:customStyle="1" w:styleId="FooterChar">
    <w:name w:val="Footer Char"/>
    <w:basedOn w:val="DefaultParagraphFont"/>
    <w:link w:val="Footer"/>
    <w:uiPriority w:val="99"/>
    <w:rsid w:val="00FB1F6E"/>
    <w:rPr>
      <w:rFonts w:ascii="Times New Roman" w:eastAsia="Times New Roman" w:hAnsi="Times New Roman" w:cs="Times New Roman"/>
      <w:sz w:val="24"/>
      <w:szCs w:val="20"/>
      <w:lang w:eastAsia="en-GB"/>
    </w:rPr>
  </w:style>
  <w:style w:type="paragraph" w:customStyle="1" w:styleId="Default">
    <w:name w:val="Default"/>
    <w:rsid w:val="000C04AD"/>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3951ED"/>
    <w:pPr>
      <w:ind w:left="720"/>
      <w:contextualSpacing/>
    </w:pPr>
  </w:style>
  <w:style w:type="paragraph" w:styleId="BalloonText">
    <w:name w:val="Balloon Text"/>
    <w:basedOn w:val="Normal"/>
    <w:link w:val="BalloonTextChar"/>
    <w:uiPriority w:val="99"/>
    <w:semiHidden/>
    <w:unhideWhenUsed/>
    <w:rsid w:val="00716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74E"/>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71674E"/>
    <w:rPr>
      <w:sz w:val="16"/>
      <w:szCs w:val="16"/>
    </w:rPr>
  </w:style>
  <w:style w:type="paragraph" w:styleId="CommentText">
    <w:name w:val="annotation text"/>
    <w:basedOn w:val="Normal"/>
    <w:link w:val="CommentTextChar"/>
    <w:uiPriority w:val="99"/>
    <w:semiHidden/>
    <w:unhideWhenUsed/>
    <w:rsid w:val="0071674E"/>
    <w:rPr>
      <w:sz w:val="20"/>
    </w:rPr>
  </w:style>
  <w:style w:type="character" w:customStyle="1" w:styleId="CommentTextChar">
    <w:name w:val="Comment Text Char"/>
    <w:basedOn w:val="DefaultParagraphFont"/>
    <w:link w:val="CommentText"/>
    <w:uiPriority w:val="99"/>
    <w:semiHidden/>
    <w:rsid w:val="0071674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1674E"/>
    <w:rPr>
      <w:b/>
      <w:bCs/>
    </w:rPr>
  </w:style>
  <w:style w:type="character" w:customStyle="1" w:styleId="CommentSubjectChar">
    <w:name w:val="Comment Subject Char"/>
    <w:basedOn w:val="CommentTextChar"/>
    <w:link w:val="CommentSubject"/>
    <w:uiPriority w:val="99"/>
    <w:semiHidden/>
    <w:rsid w:val="0071674E"/>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5434405">
      <w:bodyDiv w:val="1"/>
      <w:marLeft w:val="0"/>
      <w:marRight w:val="0"/>
      <w:marTop w:val="0"/>
      <w:marBottom w:val="0"/>
      <w:divBdr>
        <w:top w:val="none" w:sz="0" w:space="0" w:color="auto"/>
        <w:left w:val="none" w:sz="0" w:space="0" w:color="auto"/>
        <w:bottom w:val="none" w:sz="0" w:space="0" w:color="auto"/>
        <w:right w:val="none" w:sz="0" w:space="0" w:color="auto"/>
      </w:divBdr>
      <w:divsChild>
        <w:div w:id="916594917">
          <w:marLeft w:val="0"/>
          <w:marRight w:val="0"/>
          <w:marTop w:val="0"/>
          <w:marBottom w:val="0"/>
          <w:divBdr>
            <w:top w:val="none" w:sz="0" w:space="0" w:color="auto"/>
            <w:left w:val="none" w:sz="0" w:space="0" w:color="auto"/>
            <w:bottom w:val="none" w:sz="0" w:space="0" w:color="auto"/>
            <w:right w:val="none" w:sz="0" w:space="0" w:color="auto"/>
          </w:divBdr>
          <w:divsChild>
            <w:div w:id="18092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40840">
      <w:bodyDiv w:val="1"/>
      <w:marLeft w:val="0"/>
      <w:marRight w:val="0"/>
      <w:marTop w:val="0"/>
      <w:marBottom w:val="0"/>
      <w:divBdr>
        <w:top w:val="none" w:sz="0" w:space="0" w:color="auto"/>
        <w:left w:val="none" w:sz="0" w:space="0" w:color="auto"/>
        <w:bottom w:val="none" w:sz="0" w:space="0" w:color="auto"/>
        <w:right w:val="none" w:sz="0" w:space="0" w:color="auto"/>
      </w:divBdr>
    </w:div>
    <w:div w:id="545609927">
      <w:bodyDiv w:val="1"/>
      <w:marLeft w:val="0"/>
      <w:marRight w:val="0"/>
      <w:marTop w:val="0"/>
      <w:marBottom w:val="0"/>
      <w:divBdr>
        <w:top w:val="none" w:sz="0" w:space="0" w:color="auto"/>
        <w:left w:val="none" w:sz="0" w:space="0" w:color="auto"/>
        <w:bottom w:val="none" w:sz="0" w:space="0" w:color="auto"/>
        <w:right w:val="none" w:sz="0" w:space="0" w:color="auto"/>
      </w:divBdr>
    </w:div>
    <w:div w:id="604188703">
      <w:bodyDiv w:val="1"/>
      <w:marLeft w:val="0"/>
      <w:marRight w:val="0"/>
      <w:marTop w:val="0"/>
      <w:marBottom w:val="0"/>
      <w:divBdr>
        <w:top w:val="none" w:sz="0" w:space="0" w:color="auto"/>
        <w:left w:val="none" w:sz="0" w:space="0" w:color="auto"/>
        <w:bottom w:val="none" w:sz="0" w:space="0" w:color="auto"/>
        <w:right w:val="none" w:sz="0" w:space="0" w:color="auto"/>
      </w:divBdr>
    </w:div>
    <w:div w:id="630669897">
      <w:bodyDiv w:val="1"/>
      <w:marLeft w:val="0"/>
      <w:marRight w:val="0"/>
      <w:marTop w:val="0"/>
      <w:marBottom w:val="0"/>
      <w:divBdr>
        <w:top w:val="none" w:sz="0" w:space="0" w:color="auto"/>
        <w:left w:val="none" w:sz="0" w:space="0" w:color="auto"/>
        <w:bottom w:val="none" w:sz="0" w:space="0" w:color="auto"/>
        <w:right w:val="none" w:sz="0" w:space="0" w:color="auto"/>
      </w:divBdr>
    </w:div>
    <w:div w:id="657224765">
      <w:bodyDiv w:val="1"/>
      <w:marLeft w:val="0"/>
      <w:marRight w:val="0"/>
      <w:marTop w:val="0"/>
      <w:marBottom w:val="0"/>
      <w:divBdr>
        <w:top w:val="none" w:sz="0" w:space="0" w:color="auto"/>
        <w:left w:val="none" w:sz="0" w:space="0" w:color="auto"/>
        <w:bottom w:val="none" w:sz="0" w:space="0" w:color="auto"/>
        <w:right w:val="none" w:sz="0" w:space="0" w:color="auto"/>
      </w:divBdr>
    </w:div>
    <w:div w:id="1203588702">
      <w:bodyDiv w:val="1"/>
      <w:marLeft w:val="0"/>
      <w:marRight w:val="0"/>
      <w:marTop w:val="0"/>
      <w:marBottom w:val="0"/>
      <w:divBdr>
        <w:top w:val="none" w:sz="0" w:space="0" w:color="auto"/>
        <w:left w:val="none" w:sz="0" w:space="0" w:color="auto"/>
        <w:bottom w:val="none" w:sz="0" w:space="0" w:color="auto"/>
        <w:right w:val="none" w:sz="0" w:space="0" w:color="auto"/>
      </w:divBdr>
    </w:div>
    <w:div w:id="1445155473">
      <w:bodyDiv w:val="1"/>
      <w:marLeft w:val="0"/>
      <w:marRight w:val="0"/>
      <w:marTop w:val="0"/>
      <w:marBottom w:val="0"/>
      <w:divBdr>
        <w:top w:val="none" w:sz="0" w:space="0" w:color="auto"/>
        <w:left w:val="none" w:sz="0" w:space="0" w:color="auto"/>
        <w:bottom w:val="none" w:sz="0" w:space="0" w:color="auto"/>
        <w:right w:val="none" w:sz="0" w:space="0" w:color="auto"/>
      </w:divBdr>
    </w:div>
    <w:div w:id="1564220926">
      <w:bodyDiv w:val="1"/>
      <w:marLeft w:val="0"/>
      <w:marRight w:val="0"/>
      <w:marTop w:val="0"/>
      <w:marBottom w:val="0"/>
      <w:divBdr>
        <w:top w:val="none" w:sz="0" w:space="0" w:color="auto"/>
        <w:left w:val="none" w:sz="0" w:space="0" w:color="auto"/>
        <w:bottom w:val="none" w:sz="0" w:space="0" w:color="auto"/>
        <w:right w:val="none" w:sz="0" w:space="0" w:color="auto"/>
      </w:divBdr>
    </w:div>
    <w:div w:id="1750424045">
      <w:bodyDiv w:val="1"/>
      <w:marLeft w:val="0"/>
      <w:marRight w:val="0"/>
      <w:marTop w:val="0"/>
      <w:marBottom w:val="0"/>
      <w:divBdr>
        <w:top w:val="none" w:sz="0" w:space="0" w:color="auto"/>
        <w:left w:val="none" w:sz="0" w:space="0" w:color="auto"/>
        <w:bottom w:val="none" w:sz="0" w:space="0" w:color="auto"/>
        <w:right w:val="none" w:sz="0" w:space="0" w:color="auto"/>
      </w:divBdr>
    </w:div>
    <w:div w:id="1847863204">
      <w:bodyDiv w:val="1"/>
      <w:marLeft w:val="0"/>
      <w:marRight w:val="0"/>
      <w:marTop w:val="0"/>
      <w:marBottom w:val="0"/>
      <w:divBdr>
        <w:top w:val="none" w:sz="0" w:space="0" w:color="auto"/>
        <w:left w:val="none" w:sz="0" w:space="0" w:color="auto"/>
        <w:bottom w:val="none" w:sz="0" w:space="0" w:color="auto"/>
        <w:right w:val="none" w:sz="0" w:space="0" w:color="auto"/>
      </w:divBdr>
      <w:divsChild>
        <w:div w:id="1184635018">
          <w:marLeft w:val="0"/>
          <w:marRight w:val="0"/>
          <w:marTop w:val="0"/>
          <w:marBottom w:val="0"/>
          <w:divBdr>
            <w:top w:val="none" w:sz="0" w:space="0" w:color="auto"/>
            <w:left w:val="none" w:sz="0" w:space="0" w:color="auto"/>
            <w:bottom w:val="none" w:sz="0" w:space="0" w:color="auto"/>
            <w:right w:val="none" w:sz="0" w:space="0" w:color="auto"/>
          </w:divBdr>
          <w:divsChild>
            <w:div w:id="3046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65114">
      <w:bodyDiv w:val="1"/>
      <w:marLeft w:val="0"/>
      <w:marRight w:val="0"/>
      <w:marTop w:val="0"/>
      <w:marBottom w:val="0"/>
      <w:divBdr>
        <w:top w:val="none" w:sz="0" w:space="0" w:color="auto"/>
        <w:left w:val="none" w:sz="0" w:space="0" w:color="auto"/>
        <w:bottom w:val="none" w:sz="0" w:space="0" w:color="auto"/>
        <w:right w:val="none" w:sz="0" w:space="0" w:color="auto"/>
      </w:divBdr>
    </w:div>
    <w:div w:id="206787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60E75127AD3B84DB063D01FE6C48736" ma:contentTypeVersion="8" ma:contentTypeDescription="Create a new document." ma:contentTypeScope="" ma:versionID="6acd9cd2c9916327bb45fc3d6abb1fa5">
  <xsd:schema xmlns:xsd="http://www.w3.org/2001/XMLSchema" xmlns:xs="http://www.w3.org/2001/XMLSchema" xmlns:p="http://schemas.microsoft.com/office/2006/metadata/properties" xmlns:ns3="e8af92bc-8e34-4a61-9cd3-9718f5025eb6" targetNamespace="http://schemas.microsoft.com/office/2006/metadata/properties" ma:root="true" ma:fieldsID="bd2b1879b3b3111630ec9130617a246c" ns3:_="">
    <xsd:import namespace="e8af92bc-8e34-4a61-9cd3-9718f5025eb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f92bc-8e34-4a61-9cd3-9718f5025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DB01AD-CA2A-49E5-99D8-880C0274C75F}">
  <ds:schemaRefs>
    <ds:schemaRef ds:uri="http://schemas.openxmlformats.org/officeDocument/2006/bibliography"/>
  </ds:schemaRefs>
</ds:datastoreItem>
</file>

<file path=customXml/itemProps2.xml><?xml version="1.0" encoding="utf-8"?>
<ds:datastoreItem xmlns:ds="http://schemas.openxmlformats.org/officeDocument/2006/customXml" ds:itemID="{AD17E33E-8564-4F44-AF73-76DF4147DA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23EB3-B56D-42F8-956E-854E5422C2E5}">
  <ds:schemaRefs>
    <ds:schemaRef ds:uri="http://schemas.microsoft.com/sharepoint/v3/contenttype/forms"/>
  </ds:schemaRefs>
</ds:datastoreItem>
</file>

<file path=customXml/itemProps4.xml><?xml version="1.0" encoding="utf-8"?>
<ds:datastoreItem xmlns:ds="http://schemas.openxmlformats.org/officeDocument/2006/customXml" ds:itemID="{F185ABF9-8E73-40AD-A58B-DE89B3C7C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f92bc-8e34-4a61-9cd3-9718f5025e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Oyesumbo Thomas</dc:creator>
  <cp:keywords/>
  <dc:description/>
  <cp:lastModifiedBy>David Prevezer</cp:lastModifiedBy>
  <cp:revision>3</cp:revision>
  <dcterms:created xsi:type="dcterms:W3CDTF">2021-11-16T14:32:00Z</dcterms:created>
  <dcterms:modified xsi:type="dcterms:W3CDTF">2021-11-25T17:12:00Z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0x010100160E75127AD3B84DB063D01FE6C48736</vt:lpwstr>
  </property>
</Properties>
</file>