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5009B365" w:rsidR="008F4819" w:rsidRPr="00F4027B" w:rsidRDefault="000C04AD" w:rsidP="006114F3">
      <w:pPr>
        <w:pStyle w:val="BodyText"/>
        <w:jc w:val="center"/>
        <w:rPr>
          <w:rFonts w:ascii="Arial" w:hAnsi="Arial" w:cs="Arial"/>
          <w:b/>
          <w:sz w:val="22"/>
          <w:szCs w:val="22"/>
        </w:rPr>
      </w:pPr>
      <w:r w:rsidRPr="00F4027B">
        <w:rPr>
          <w:rFonts w:ascii="Arial" w:hAnsi="Arial" w:cs="Arial"/>
          <w:b/>
          <w:sz w:val="22"/>
          <w:szCs w:val="22"/>
        </w:rPr>
        <w:t xml:space="preserve">Cross-reference list – Annex </w:t>
      </w:r>
      <w:r w:rsidR="00296BC5" w:rsidRPr="00F4027B">
        <w:rPr>
          <w:rFonts w:ascii="Arial" w:hAnsi="Arial" w:cs="Arial"/>
          <w:b/>
          <w:sz w:val="22"/>
          <w:szCs w:val="22"/>
        </w:rPr>
        <w:t>2</w:t>
      </w:r>
      <w:r w:rsidR="00E23BA6" w:rsidRPr="00F4027B">
        <w:rPr>
          <w:rFonts w:ascii="Arial" w:hAnsi="Arial" w:cs="Arial"/>
          <w:b/>
          <w:sz w:val="22"/>
          <w:szCs w:val="22"/>
        </w:rPr>
        <w:t>6</w:t>
      </w:r>
    </w:p>
    <w:p w14:paraId="5C14B38B" w14:textId="08E9F576" w:rsidR="00E23BA6" w:rsidRPr="00F4027B" w:rsidRDefault="00820246" w:rsidP="00E23BA6">
      <w:pPr>
        <w:pStyle w:val="Default"/>
        <w:jc w:val="center"/>
        <w:rPr>
          <w:rFonts w:ascii="Arial" w:hAnsi="Arial" w:cs="Arial"/>
          <w:sz w:val="23"/>
          <w:szCs w:val="23"/>
        </w:rPr>
      </w:pPr>
      <w:r>
        <w:rPr>
          <w:rFonts w:ascii="Arial" w:hAnsi="Arial" w:cs="Arial"/>
          <w:b/>
          <w:bCs/>
          <w:sz w:val="23"/>
          <w:szCs w:val="23"/>
        </w:rPr>
        <w:t>UK</w:t>
      </w:r>
      <w:r w:rsidRPr="00F4027B">
        <w:rPr>
          <w:rFonts w:ascii="Arial" w:hAnsi="Arial" w:cs="Arial"/>
          <w:b/>
          <w:bCs/>
          <w:sz w:val="23"/>
          <w:szCs w:val="23"/>
        </w:rPr>
        <w:t xml:space="preserve"> </w:t>
      </w:r>
      <w:r w:rsidR="006114F3" w:rsidRPr="00F4027B">
        <w:rPr>
          <w:rFonts w:ascii="Arial" w:hAnsi="Arial" w:cs="Arial"/>
          <w:b/>
          <w:bCs/>
          <w:sz w:val="23"/>
          <w:szCs w:val="23"/>
        </w:rPr>
        <w:t xml:space="preserve">Growth Securities Note for Equity Securities </w:t>
      </w:r>
    </w:p>
    <w:p w14:paraId="44132AEC" w14:textId="6FFE7234" w:rsidR="00584BF5" w:rsidRPr="00F4027B" w:rsidRDefault="00584BF5" w:rsidP="00584BF5">
      <w:pPr>
        <w:autoSpaceDE w:val="0"/>
        <w:autoSpaceDN w:val="0"/>
        <w:adjustRightInd w:val="0"/>
        <w:jc w:val="center"/>
        <w:rPr>
          <w:rFonts w:ascii="Arial" w:eastAsiaTheme="minorHAnsi" w:hAnsi="Arial" w:cs="Arial"/>
          <w:color w:val="000000"/>
          <w:sz w:val="22"/>
          <w:szCs w:val="22"/>
          <w:lang w:eastAsia="en-US"/>
        </w:rPr>
      </w:pPr>
    </w:p>
    <w:p w14:paraId="28076B00" w14:textId="0256C4BD" w:rsidR="008F4819" w:rsidRPr="00F4027B" w:rsidRDefault="00A910B2" w:rsidP="00977704">
      <w:pPr>
        <w:autoSpaceDE w:val="0"/>
        <w:autoSpaceDN w:val="0"/>
        <w:adjustRightInd w:val="0"/>
        <w:rPr>
          <w:rFonts w:ascii="Arial" w:eastAsiaTheme="minorHAnsi" w:hAnsi="Arial" w:cs="Arial"/>
          <w:color w:val="000000"/>
          <w:sz w:val="22"/>
          <w:szCs w:val="22"/>
          <w:lang w:eastAsia="en-US"/>
        </w:rPr>
      </w:pPr>
      <w:r w:rsidRPr="00F4027B">
        <w:rPr>
          <w:rFonts w:ascii="Arial" w:eastAsiaTheme="minorHAnsi" w:hAnsi="Arial" w:cs="Arial"/>
          <w:b/>
          <w:bCs/>
          <w:color w:val="000000"/>
          <w:sz w:val="22"/>
          <w:szCs w:val="22"/>
          <w:lang w:eastAsia="en-US"/>
        </w:rPr>
        <w:t xml:space="preserve"> </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8"/>
        <w:gridCol w:w="8637"/>
      </w:tblGrid>
      <w:tr w:rsidR="00FD68AC" w:rsidRPr="00F4027B" w14:paraId="40637FFD" w14:textId="77777777" w:rsidTr="0073662F">
        <w:tc>
          <w:tcPr>
            <w:tcW w:w="2278" w:type="dxa"/>
          </w:tcPr>
          <w:p w14:paraId="3FA0AE59" w14:textId="77777777" w:rsidR="008F4819" w:rsidRPr="00F4027B" w:rsidRDefault="008F4819" w:rsidP="00867A71">
            <w:pPr>
              <w:pStyle w:val="TableText"/>
              <w:rPr>
                <w:rFonts w:ascii="Arial" w:hAnsi="Arial" w:cs="Arial"/>
                <w:i/>
                <w:sz w:val="18"/>
              </w:rPr>
            </w:pPr>
            <w:r w:rsidRPr="00F4027B">
              <w:rPr>
                <w:rFonts w:ascii="Arial" w:hAnsi="Arial" w:cs="Arial"/>
                <w:i/>
                <w:sz w:val="18"/>
              </w:rPr>
              <w:t>Name of Company:</w:t>
            </w:r>
          </w:p>
        </w:tc>
        <w:tc>
          <w:tcPr>
            <w:tcW w:w="8637" w:type="dxa"/>
          </w:tcPr>
          <w:p w14:paraId="124D73E3" w14:textId="77777777" w:rsidR="008F4819" w:rsidRPr="00F4027B" w:rsidRDefault="008F4819" w:rsidP="00867A71">
            <w:pPr>
              <w:pStyle w:val="TableText"/>
              <w:rPr>
                <w:rFonts w:ascii="Arial" w:hAnsi="Arial" w:cs="Arial"/>
              </w:rPr>
            </w:pPr>
          </w:p>
        </w:tc>
      </w:tr>
      <w:tr w:rsidR="00FD68AC" w:rsidRPr="00F4027B" w14:paraId="050DAF9F" w14:textId="77777777" w:rsidTr="0073662F">
        <w:tc>
          <w:tcPr>
            <w:tcW w:w="2278" w:type="dxa"/>
          </w:tcPr>
          <w:p w14:paraId="4431F36A" w14:textId="77777777" w:rsidR="008F4819" w:rsidRPr="00F4027B" w:rsidRDefault="008F4819" w:rsidP="00867A71">
            <w:pPr>
              <w:pStyle w:val="TableText"/>
              <w:rPr>
                <w:rFonts w:ascii="Arial" w:hAnsi="Arial" w:cs="Arial"/>
                <w:i/>
                <w:sz w:val="18"/>
              </w:rPr>
            </w:pPr>
            <w:r w:rsidRPr="00F4027B">
              <w:rPr>
                <w:rFonts w:ascii="Arial" w:hAnsi="Arial" w:cs="Arial"/>
                <w:i/>
                <w:sz w:val="18"/>
              </w:rPr>
              <w:t>Nature of Transaction:</w:t>
            </w:r>
          </w:p>
        </w:tc>
        <w:tc>
          <w:tcPr>
            <w:tcW w:w="8637" w:type="dxa"/>
          </w:tcPr>
          <w:p w14:paraId="4B53EF91" w14:textId="77777777" w:rsidR="008F4819" w:rsidRPr="00F4027B" w:rsidRDefault="008F4819" w:rsidP="00867A71">
            <w:pPr>
              <w:pStyle w:val="TableText"/>
              <w:rPr>
                <w:rFonts w:ascii="Arial" w:hAnsi="Arial" w:cs="Arial"/>
              </w:rPr>
            </w:pPr>
          </w:p>
          <w:p w14:paraId="6E1A6125" w14:textId="77777777" w:rsidR="008F4819" w:rsidRPr="00F4027B" w:rsidRDefault="008F4819" w:rsidP="00867A71">
            <w:pPr>
              <w:pStyle w:val="TableText"/>
              <w:rPr>
                <w:rFonts w:ascii="Arial" w:hAnsi="Arial" w:cs="Arial"/>
              </w:rPr>
            </w:pPr>
          </w:p>
        </w:tc>
      </w:tr>
      <w:tr w:rsidR="00FD68AC" w:rsidRPr="00F4027B" w14:paraId="70E7D4FD" w14:textId="77777777" w:rsidTr="0073662F">
        <w:tc>
          <w:tcPr>
            <w:tcW w:w="2278" w:type="dxa"/>
          </w:tcPr>
          <w:p w14:paraId="79171EE1" w14:textId="77777777" w:rsidR="008F4819" w:rsidRPr="00F4027B" w:rsidRDefault="008F4819" w:rsidP="00867A71">
            <w:pPr>
              <w:pStyle w:val="TableText"/>
              <w:rPr>
                <w:rFonts w:ascii="Arial" w:hAnsi="Arial" w:cs="Arial"/>
                <w:i/>
                <w:sz w:val="18"/>
              </w:rPr>
            </w:pPr>
            <w:r w:rsidRPr="00F4027B">
              <w:rPr>
                <w:rFonts w:ascii="Arial" w:hAnsi="Arial" w:cs="Arial"/>
                <w:i/>
                <w:sz w:val="18"/>
              </w:rPr>
              <w:t>Name of Sponsor/Adviser:</w:t>
            </w:r>
          </w:p>
        </w:tc>
        <w:tc>
          <w:tcPr>
            <w:tcW w:w="8637" w:type="dxa"/>
          </w:tcPr>
          <w:p w14:paraId="07089FD1" w14:textId="77777777" w:rsidR="008F4819" w:rsidRPr="00F4027B" w:rsidRDefault="008F4819" w:rsidP="00867A71">
            <w:pPr>
              <w:pStyle w:val="TableText"/>
              <w:rPr>
                <w:rFonts w:ascii="Arial" w:hAnsi="Arial" w:cs="Arial"/>
              </w:rPr>
            </w:pPr>
          </w:p>
        </w:tc>
      </w:tr>
      <w:tr w:rsidR="00FD68AC" w:rsidRPr="00F4027B" w14:paraId="4A43FF6B" w14:textId="77777777" w:rsidTr="0073662F">
        <w:tc>
          <w:tcPr>
            <w:tcW w:w="2278" w:type="dxa"/>
          </w:tcPr>
          <w:p w14:paraId="08E2D35E" w14:textId="77777777" w:rsidR="008F4819" w:rsidRPr="00F4027B" w:rsidRDefault="008F4819" w:rsidP="00867A71">
            <w:pPr>
              <w:pStyle w:val="TableText"/>
              <w:rPr>
                <w:rFonts w:ascii="Arial" w:hAnsi="Arial" w:cs="Arial"/>
                <w:i/>
                <w:sz w:val="18"/>
              </w:rPr>
            </w:pPr>
            <w:r w:rsidRPr="00F4027B">
              <w:rPr>
                <w:rFonts w:ascii="Arial" w:hAnsi="Arial" w:cs="Arial"/>
                <w:i/>
                <w:sz w:val="18"/>
              </w:rPr>
              <w:t>Date Submitted:</w:t>
            </w:r>
          </w:p>
        </w:tc>
        <w:tc>
          <w:tcPr>
            <w:tcW w:w="8637" w:type="dxa"/>
          </w:tcPr>
          <w:p w14:paraId="00D36E88" w14:textId="77777777" w:rsidR="008F4819" w:rsidRPr="00F4027B" w:rsidRDefault="008F4819" w:rsidP="00867A71">
            <w:pPr>
              <w:pStyle w:val="TableText"/>
              <w:rPr>
                <w:rFonts w:ascii="Arial" w:hAnsi="Arial" w:cs="Arial"/>
              </w:rPr>
            </w:pPr>
          </w:p>
        </w:tc>
      </w:tr>
    </w:tbl>
    <w:p w14:paraId="339C96AC" w14:textId="6029395B" w:rsidR="000C04AD" w:rsidRPr="00F4027B" w:rsidRDefault="000C04AD" w:rsidP="008F4819">
      <w:pPr>
        <w:pStyle w:val="Lev1Text"/>
        <w:rPr>
          <w:rFonts w:ascii="Arial" w:hAnsi="Arial" w:cs="Arial"/>
        </w:rPr>
      </w:pPr>
    </w:p>
    <w:p w14:paraId="288A509F" w14:textId="77777777" w:rsidR="0006176E" w:rsidRPr="00F4027B" w:rsidRDefault="0006176E" w:rsidP="008F4819">
      <w:pPr>
        <w:pStyle w:val="Lev1Text"/>
        <w:rPr>
          <w:rFonts w:ascii="Arial" w:hAnsi="Arial" w:cs="Arial"/>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812"/>
        <w:gridCol w:w="992"/>
        <w:gridCol w:w="992"/>
        <w:gridCol w:w="2268"/>
      </w:tblGrid>
      <w:tr w:rsidR="00FA3560" w:rsidRPr="00C24291" w14:paraId="09FE5525" w14:textId="77777777" w:rsidTr="0073662F">
        <w:trPr>
          <w:trHeight w:val="383"/>
          <w:tblHeader/>
        </w:trPr>
        <w:tc>
          <w:tcPr>
            <w:tcW w:w="851" w:type="dxa"/>
            <w:shd w:val="clear" w:color="auto" w:fill="632423"/>
          </w:tcPr>
          <w:p w14:paraId="08E6DABF" w14:textId="77777777" w:rsidR="00FA3560" w:rsidRPr="00C24291" w:rsidRDefault="00FA3560" w:rsidP="00C24291">
            <w:pPr>
              <w:pStyle w:val="Default"/>
              <w:spacing w:after="60"/>
              <w:rPr>
                <w:rFonts w:ascii="Arial" w:hAnsi="Arial" w:cs="Arial"/>
                <w:b/>
                <w:color w:val="FFFFFF" w:themeColor="background1"/>
                <w:sz w:val="18"/>
                <w:szCs w:val="18"/>
              </w:rPr>
            </w:pPr>
            <w:r w:rsidRPr="00C24291">
              <w:rPr>
                <w:rFonts w:ascii="Arial" w:hAnsi="Arial" w:cs="Arial"/>
                <w:b/>
                <w:color w:val="FFFFFF" w:themeColor="background1"/>
                <w:sz w:val="18"/>
                <w:szCs w:val="18"/>
              </w:rPr>
              <w:t>Rule</w:t>
            </w:r>
          </w:p>
        </w:tc>
        <w:tc>
          <w:tcPr>
            <w:tcW w:w="5812" w:type="dxa"/>
            <w:shd w:val="clear" w:color="auto" w:fill="632423"/>
          </w:tcPr>
          <w:p w14:paraId="1B628E02" w14:textId="77777777" w:rsidR="00FA3560" w:rsidRPr="00C24291" w:rsidRDefault="00FA3560" w:rsidP="00C24291">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992" w:type="dxa"/>
            <w:shd w:val="clear" w:color="auto" w:fill="632423"/>
          </w:tcPr>
          <w:p w14:paraId="2EEE942E" w14:textId="77777777" w:rsidR="00FA3560" w:rsidRPr="00C24291" w:rsidRDefault="00FA3560" w:rsidP="00C24291">
            <w:pPr>
              <w:autoSpaceDE w:val="0"/>
              <w:autoSpaceDN w:val="0"/>
              <w:adjustRightInd w:val="0"/>
              <w:spacing w:after="60"/>
              <w:rPr>
                <w:rFonts w:ascii="Arial" w:eastAsiaTheme="minorHAnsi" w:hAnsi="Arial" w:cs="Arial"/>
                <w:b/>
                <w:bCs/>
                <w:color w:val="FFFFFF" w:themeColor="background1"/>
                <w:sz w:val="18"/>
                <w:szCs w:val="18"/>
                <w:lang w:eastAsia="en-US"/>
              </w:rPr>
            </w:pPr>
            <w:r w:rsidRPr="00C24291">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FA3560" w:rsidRPr="00C24291" w:rsidRDefault="00FA3560" w:rsidP="00C24291">
            <w:pPr>
              <w:autoSpaceDE w:val="0"/>
              <w:autoSpaceDN w:val="0"/>
              <w:adjustRightInd w:val="0"/>
              <w:spacing w:after="60"/>
              <w:rPr>
                <w:rFonts w:ascii="Arial" w:eastAsiaTheme="minorHAnsi" w:hAnsi="Arial" w:cs="Arial"/>
                <w:b/>
                <w:bCs/>
                <w:color w:val="FFFFFF" w:themeColor="background1"/>
                <w:sz w:val="18"/>
                <w:szCs w:val="18"/>
                <w:lang w:eastAsia="en-US"/>
              </w:rPr>
            </w:pPr>
            <w:r w:rsidRPr="00C24291">
              <w:rPr>
                <w:rFonts w:ascii="Arial" w:eastAsiaTheme="minorHAnsi" w:hAnsi="Arial" w:cs="Arial"/>
                <w:b/>
                <w:bCs/>
                <w:color w:val="FFFFFF" w:themeColor="background1"/>
                <w:sz w:val="18"/>
                <w:szCs w:val="18"/>
                <w:lang w:eastAsia="en-US"/>
              </w:rPr>
              <w:t>Proof Number</w:t>
            </w:r>
          </w:p>
        </w:tc>
        <w:tc>
          <w:tcPr>
            <w:tcW w:w="2268" w:type="dxa"/>
            <w:shd w:val="clear" w:color="auto" w:fill="632423"/>
          </w:tcPr>
          <w:p w14:paraId="476BB4A7" w14:textId="77777777" w:rsidR="00FA3560" w:rsidRPr="00C24291" w:rsidRDefault="00FA3560" w:rsidP="00C24291">
            <w:pPr>
              <w:autoSpaceDE w:val="0"/>
              <w:autoSpaceDN w:val="0"/>
              <w:adjustRightInd w:val="0"/>
              <w:spacing w:after="60"/>
              <w:rPr>
                <w:rFonts w:ascii="Arial" w:eastAsiaTheme="minorHAnsi" w:hAnsi="Arial" w:cs="Arial"/>
                <w:b/>
                <w:bCs/>
                <w:color w:val="FFFFFF" w:themeColor="background1"/>
                <w:sz w:val="18"/>
                <w:szCs w:val="18"/>
                <w:lang w:eastAsia="en-US"/>
              </w:rPr>
            </w:pPr>
            <w:r w:rsidRPr="00C24291">
              <w:rPr>
                <w:rFonts w:ascii="Arial" w:eastAsiaTheme="minorHAnsi" w:hAnsi="Arial" w:cs="Arial"/>
                <w:b/>
                <w:bCs/>
                <w:color w:val="FFFFFF" w:themeColor="background1"/>
                <w:sz w:val="18"/>
                <w:szCs w:val="18"/>
                <w:lang w:eastAsia="en-US"/>
              </w:rPr>
              <w:t>Comments (where applicable)</w:t>
            </w:r>
          </w:p>
        </w:tc>
      </w:tr>
      <w:tr w:rsidR="006114F3" w:rsidRPr="00C24291" w14:paraId="5A09779E" w14:textId="77777777" w:rsidTr="0073662F">
        <w:trPr>
          <w:trHeight w:val="383"/>
        </w:trPr>
        <w:tc>
          <w:tcPr>
            <w:tcW w:w="851" w:type="dxa"/>
            <w:shd w:val="clear" w:color="auto" w:fill="auto"/>
          </w:tcPr>
          <w:p w14:paraId="1032CA92" w14:textId="505A6EF5"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 </w:t>
            </w:r>
          </w:p>
        </w:tc>
        <w:tc>
          <w:tcPr>
            <w:tcW w:w="5812" w:type="dxa"/>
            <w:shd w:val="clear" w:color="auto" w:fill="auto"/>
          </w:tcPr>
          <w:p w14:paraId="04055415" w14:textId="77777777" w:rsidR="006114F3" w:rsidRPr="00C24291" w:rsidRDefault="006114F3" w:rsidP="0073662F">
            <w:pPr>
              <w:autoSpaceDE w:val="0"/>
              <w:autoSpaceDN w:val="0"/>
              <w:adjustRightInd w:val="0"/>
              <w:spacing w:after="120"/>
              <w:rPr>
                <w:rFonts w:ascii="Arial" w:eastAsiaTheme="minorHAnsi" w:hAnsi="Arial" w:cs="Arial"/>
                <w:color w:val="000000"/>
                <w:sz w:val="18"/>
                <w:szCs w:val="18"/>
                <w:lang w:eastAsia="en-US"/>
              </w:rPr>
            </w:pPr>
            <w:r w:rsidRPr="00C24291">
              <w:rPr>
                <w:rFonts w:ascii="Arial" w:eastAsiaTheme="minorHAnsi" w:hAnsi="Arial" w:cs="Arial"/>
                <w:b/>
                <w:bCs/>
                <w:color w:val="000000"/>
                <w:sz w:val="18"/>
                <w:szCs w:val="18"/>
                <w:lang w:eastAsia="en-US"/>
              </w:rPr>
              <w:t xml:space="preserve">PURPOSE, PERSONS RESPONSIBLE, THIRD PARTY INFORMATION, EXPERTS’ REPORTS AND COMPETENT AUTHORITY APPROVAL </w:t>
            </w:r>
          </w:p>
          <w:p w14:paraId="0791F625" w14:textId="7CCBF26E"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i/>
                <w:iCs/>
                <w:color w:val="000000"/>
                <w:sz w:val="18"/>
                <w:szCs w:val="18"/>
                <w:lang w:eastAsia="en-US"/>
              </w:rPr>
              <w:t xml:space="preserve">This section shall provide information on the persons who are responsible for the content of the </w:t>
            </w:r>
            <w:r w:rsidR="00820246">
              <w:rPr>
                <w:rFonts w:ascii="Arial" w:eastAsiaTheme="minorHAnsi" w:hAnsi="Arial" w:cs="Arial"/>
                <w:i/>
                <w:iCs/>
                <w:color w:val="000000"/>
                <w:sz w:val="18"/>
                <w:szCs w:val="18"/>
                <w:lang w:eastAsia="en-US"/>
              </w:rPr>
              <w:t>UK</w:t>
            </w:r>
            <w:r w:rsidR="00820246" w:rsidRPr="00C24291">
              <w:rPr>
                <w:rFonts w:ascii="Arial" w:eastAsiaTheme="minorHAnsi" w:hAnsi="Arial" w:cs="Arial"/>
                <w:i/>
                <w:iCs/>
                <w:color w:val="000000"/>
                <w:sz w:val="18"/>
                <w:szCs w:val="18"/>
                <w:lang w:eastAsia="en-US"/>
              </w:rPr>
              <w:t xml:space="preserve"> </w:t>
            </w:r>
            <w:r w:rsidRPr="00C24291">
              <w:rPr>
                <w:rFonts w:ascii="Arial" w:eastAsiaTheme="minorHAnsi" w:hAnsi="Arial" w:cs="Arial"/>
                <w:i/>
                <w:iCs/>
                <w:color w:val="000000"/>
                <w:sz w:val="18"/>
                <w:szCs w:val="18"/>
                <w:lang w:eastAsia="en-US"/>
              </w:rPr>
              <w:t xml:space="preserve">Growth securities note. The purpose of this section is to provide comfort to investors on the accuracy of the information disclosed in the prospectus. In addition, this section provides information on the interests of persons involved in the offer, as well as the reasons of the offer, the use of proceeds and the expenses of the offer. Moreover, the section provides information on the legal basis of the </w:t>
            </w:r>
            <w:r w:rsidR="00820246">
              <w:rPr>
                <w:rFonts w:ascii="Arial" w:eastAsiaTheme="minorHAnsi" w:hAnsi="Arial" w:cs="Arial"/>
                <w:i/>
                <w:iCs/>
                <w:color w:val="000000"/>
                <w:sz w:val="18"/>
                <w:szCs w:val="18"/>
                <w:lang w:eastAsia="en-US"/>
              </w:rPr>
              <w:t>UK</w:t>
            </w:r>
            <w:r w:rsidR="00820246" w:rsidRPr="00C24291">
              <w:rPr>
                <w:rFonts w:ascii="Arial" w:eastAsiaTheme="minorHAnsi" w:hAnsi="Arial" w:cs="Arial"/>
                <w:i/>
                <w:iCs/>
                <w:color w:val="000000"/>
                <w:sz w:val="18"/>
                <w:szCs w:val="18"/>
                <w:lang w:eastAsia="en-US"/>
              </w:rPr>
              <w:t xml:space="preserve"> </w:t>
            </w:r>
            <w:r w:rsidRPr="00C24291">
              <w:rPr>
                <w:rFonts w:ascii="Arial" w:eastAsiaTheme="minorHAnsi" w:hAnsi="Arial" w:cs="Arial"/>
                <w:i/>
                <w:iCs/>
                <w:color w:val="000000"/>
                <w:sz w:val="18"/>
                <w:szCs w:val="18"/>
                <w:lang w:eastAsia="en-US"/>
              </w:rPr>
              <w:t xml:space="preserve">Growth securities note and its approval by the competent authority. </w:t>
            </w:r>
          </w:p>
        </w:tc>
        <w:tc>
          <w:tcPr>
            <w:tcW w:w="992" w:type="dxa"/>
            <w:shd w:val="clear" w:color="auto" w:fill="auto"/>
          </w:tcPr>
          <w:p w14:paraId="059C984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38A7D0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2EC9B2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28D1A8FF" w14:textId="77777777" w:rsidTr="0073662F">
        <w:trPr>
          <w:trHeight w:val="383"/>
        </w:trPr>
        <w:tc>
          <w:tcPr>
            <w:tcW w:w="851" w:type="dxa"/>
            <w:shd w:val="clear" w:color="auto" w:fill="auto"/>
          </w:tcPr>
          <w:p w14:paraId="79AEBA0E" w14:textId="11B99C69"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1.1 </w:t>
            </w:r>
          </w:p>
        </w:tc>
        <w:tc>
          <w:tcPr>
            <w:tcW w:w="5812" w:type="dxa"/>
            <w:shd w:val="clear" w:color="auto" w:fill="auto"/>
          </w:tcPr>
          <w:p w14:paraId="3F249D6D" w14:textId="3625D9EB"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Identify all persons responsible for the information or any parts of it, given in the securities note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92" w:type="dxa"/>
            <w:shd w:val="clear" w:color="auto" w:fill="auto"/>
          </w:tcPr>
          <w:p w14:paraId="7AB83FA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96DE5F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81B427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A5C7B00" w14:textId="77777777" w:rsidTr="0073662F">
        <w:trPr>
          <w:trHeight w:val="383"/>
        </w:trPr>
        <w:tc>
          <w:tcPr>
            <w:tcW w:w="851" w:type="dxa"/>
            <w:shd w:val="clear" w:color="auto" w:fill="auto"/>
          </w:tcPr>
          <w:p w14:paraId="6A7E5EA2" w14:textId="18B22776"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1.2 </w:t>
            </w:r>
          </w:p>
        </w:tc>
        <w:tc>
          <w:tcPr>
            <w:tcW w:w="5812" w:type="dxa"/>
            <w:shd w:val="clear" w:color="auto" w:fill="auto"/>
          </w:tcPr>
          <w:p w14:paraId="79BE3A22" w14:textId="77777777" w:rsidR="006114F3" w:rsidRPr="00C24291" w:rsidRDefault="006114F3" w:rsidP="0073662F">
            <w:pPr>
              <w:autoSpaceDE w:val="0"/>
              <w:autoSpaceDN w:val="0"/>
              <w:adjustRightInd w:val="0"/>
              <w:spacing w:after="12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A declaration by those responsible for the securities note that to the best of their knowledge, the information contained in the securities note is in accordance with the facts and that the securities note makes no omission likely to affect its import. </w:t>
            </w:r>
          </w:p>
          <w:p w14:paraId="0D0169FC" w14:textId="11C911AE"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 </w:t>
            </w:r>
          </w:p>
        </w:tc>
        <w:tc>
          <w:tcPr>
            <w:tcW w:w="992" w:type="dxa"/>
            <w:shd w:val="clear" w:color="auto" w:fill="auto"/>
          </w:tcPr>
          <w:p w14:paraId="0A4BA91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3A18D5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7B8749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A59CA90" w14:textId="77777777" w:rsidTr="0073662F">
        <w:trPr>
          <w:trHeight w:val="383"/>
        </w:trPr>
        <w:tc>
          <w:tcPr>
            <w:tcW w:w="851" w:type="dxa"/>
            <w:shd w:val="clear" w:color="auto" w:fill="auto"/>
          </w:tcPr>
          <w:p w14:paraId="41D925A9" w14:textId="05A0A001"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1.3 </w:t>
            </w:r>
          </w:p>
        </w:tc>
        <w:tc>
          <w:tcPr>
            <w:tcW w:w="5812" w:type="dxa"/>
            <w:shd w:val="clear" w:color="auto" w:fill="auto"/>
          </w:tcPr>
          <w:p w14:paraId="53D55889" w14:textId="77777777" w:rsidR="006114F3" w:rsidRPr="00C24291" w:rsidRDefault="006114F3" w:rsidP="0073662F">
            <w:pPr>
              <w:autoSpaceDE w:val="0"/>
              <w:autoSpaceDN w:val="0"/>
              <w:adjustRightInd w:val="0"/>
              <w:spacing w:after="12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Where a statement or report attributed to a person as an expert is included in the securities note, provide the following details for that person: </w:t>
            </w:r>
          </w:p>
          <w:p w14:paraId="3AB266F2" w14:textId="044490E4" w:rsidR="006114F3" w:rsidRPr="00C24291" w:rsidRDefault="006114F3" w:rsidP="0073662F">
            <w:pPr>
              <w:pStyle w:val="ListParagraph"/>
              <w:numPr>
                <w:ilvl w:val="0"/>
                <w:numId w:val="18"/>
              </w:numPr>
              <w:autoSpaceDE w:val="0"/>
              <w:autoSpaceDN w:val="0"/>
              <w:adjustRightInd w:val="0"/>
              <w:spacing w:after="12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name; </w:t>
            </w:r>
          </w:p>
          <w:p w14:paraId="69243052" w14:textId="040F6B88" w:rsidR="006114F3" w:rsidRPr="00C24291" w:rsidRDefault="006114F3" w:rsidP="0073662F">
            <w:pPr>
              <w:pStyle w:val="ListParagraph"/>
              <w:numPr>
                <w:ilvl w:val="0"/>
                <w:numId w:val="18"/>
              </w:numPr>
              <w:autoSpaceDE w:val="0"/>
              <w:autoSpaceDN w:val="0"/>
              <w:adjustRightInd w:val="0"/>
              <w:spacing w:after="12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business address; </w:t>
            </w:r>
          </w:p>
          <w:p w14:paraId="2C5EB4E6" w14:textId="324692E5" w:rsidR="006114F3" w:rsidRPr="00C24291" w:rsidRDefault="006114F3" w:rsidP="0073662F">
            <w:pPr>
              <w:pStyle w:val="ListParagraph"/>
              <w:numPr>
                <w:ilvl w:val="0"/>
                <w:numId w:val="18"/>
              </w:numPr>
              <w:autoSpaceDE w:val="0"/>
              <w:autoSpaceDN w:val="0"/>
              <w:adjustRightInd w:val="0"/>
              <w:spacing w:after="12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qualifications; </w:t>
            </w:r>
          </w:p>
          <w:p w14:paraId="0B52FABE" w14:textId="6A87C1AC" w:rsidR="006114F3" w:rsidRPr="00C24291" w:rsidRDefault="006114F3" w:rsidP="0073662F">
            <w:pPr>
              <w:pStyle w:val="ListParagraph"/>
              <w:numPr>
                <w:ilvl w:val="0"/>
                <w:numId w:val="18"/>
              </w:numPr>
              <w:autoSpaceDE w:val="0"/>
              <w:autoSpaceDN w:val="0"/>
              <w:adjustRightInd w:val="0"/>
              <w:spacing w:after="12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material interest if any in the issuer. </w:t>
            </w:r>
          </w:p>
          <w:p w14:paraId="4286A2E1" w14:textId="0969FFC7"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If the statement or report has been produced at the issuer’s request, state that such statement or report has been included in the securities note with the consent of the person who has authorised the contents of that part of the securities note </w:t>
            </w:r>
            <w:proofErr w:type="gramStart"/>
            <w:r w:rsidRPr="00C24291">
              <w:rPr>
                <w:rFonts w:ascii="Arial" w:eastAsiaTheme="minorHAnsi" w:hAnsi="Arial" w:cs="Arial"/>
                <w:color w:val="000000"/>
                <w:sz w:val="18"/>
                <w:szCs w:val="18"/>
                <w:lang w:eastAsia="en-US"/>
              </w:rPr>
              <w:t>for the purpose of</w:t>
            </w:r>
            <w:proofErr w:type="gramEnd"/>
            <w:r w:rsidRPr="00C24291">
              <w:rPr>
                <w:rFonts w:ascii="Arial" w:eastAsiaTheme="minorHAnsi" w:hAnsi="Arial" w:cs="Arial"/>
                <w:color w:val="000000"/>
                <w:sz w:val="18"/>
                <w:szCs w:val="18"/>
                <w:lang w:eastAsia="en-US"/>
              </w:rPr>
              <w:t xml:space="preserve"> the prospectus. </w:t>
            </w:r>
          </w:p>
        </w:tc>
        <w:tc>
          <w:tcPr>
            <w:tcW w:w="992" w:type="dxa"/>
            <w:shd w:val="clear" w:color="auto" w:fill="auto"/>
          </w:tcPr>
          <w:p w14:paraId="42236D7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42ABB3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65C9F5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09FB1686" w14:textId="77777777" w:rsidTr="0073662F">
        <w:trPr>
          <w:trHeight w:val="383"/>
        </w:trPr>
        <w:tc>
          <w:tcPr>
            <w:tcW w:w="851" w:type="dxa"/>
            <w:shd w:val="clear" w:color="auto" w:fill="auto"/>
          </w:tcPr>
          <w:p w14:paraId="5092A418" w14:textId="7E26FA6F"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1.4 </w:t>
            </w:r>
          </w:p>
        </w:tc>
        <w:tc>
          <w:tcPr>
            <w:tcW w:w="5812" w:type="dxa"/>
            <w:shd w:val="clear" w:color="auto" w:fill="auto"/>
          </w:tcPr>
          <w:p w14:paraId="24AE1086" w14:textId="04E5B3DC"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Where information has been sourced from a third party, provide a confirmation that this information has been accurately reproduced and </w:t>
            </w:r>
            <w:r w:rsidRPr="00C24291">
              <w:rPr>
                <w:rFonts w:ascii="Arial" w:eastAsiaTheme="minorHAnsi" w:hAnsi="Arial" w:cs="Arial"/>
                <w:color w:val="000000"/>
                <w:sz w:val="18"/>
                <w:szCs w:val="18"/>
                <w:lang w:eastAsia="en-US"/>
              </w:rPr>
              <w:lastRenderedPageBreak/>
              <w:t xml:space="preserve">that as far as the issuer is aware and is able to ascertain from information published by that third party, no facts have been omitted which would </w:t>
            </w:r>
            <w:r w:rsidRPr="00C24291">
              <w:rPr>
                <w:rFonts w:ascii="Arial" w:hAnsi="Arial" w:cs="Arial"/>
                <w:sz w:val="18"/>
                <w:szCs w:val="18"/>
              </w:rPr>
              <w:t xml:space="preserve">render the reproduced information inaccurate or misleading. In addition, identify the source(s) of the information. </w:t>
            </w:r>
          </w:p>
        </w:tc>
        <w:tc>
          <w:tcPr>
            <w:tcW w:w="992" w:type="dxa"/>
            <w:shd w:val="clear" w:color="auto" w:fill="auto"/>
          </w:tcPr>
          <w:p w14:paraId="44BCBC6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795499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535BF5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D0AC2A2" w14:textId="77777777" w:rsidTr="0073662F">
        <w:trPr>
          <w:trHeight w:val="383"/>
        </w:trPr>
        <w:tc>
          <w:tcPr>
            <w:tcW w:w="851" w:type="dxa"/>
            <w:shd w:val="clear" w:color="auto" w:fill="auto"/>
          </w:tcPr>
          <w:p w14:paraId="30B7ABCD" w14:textId="38627DBE"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1.5 </w:t>
            </w:r>
          </w:p>
        </w:tc>
        <w:tc>
          <w:tcPr>
            <w:tcW w:w="5812" w:type="dxa"/>
            <w:shd w:val="clear" w:color="auto" w:fill="auto"/>
          </w:tcPr>
          <w:p w14:paraId="65467C0F" w14:textId="77777777" w:rsidR="006114F3" w:rsidRPr="00C24291" w:rsidRDefault="006114F3" w:rsidP="0073662F">
            <w:pPr>
              <w:autoSpaceDE w:val="0"/>
              <w:autoSpaceDN w:val="0"/>
              <w:adjustRightInd w:val="0"/>
              <w:spacing w:after="12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A statement that: </w:t>
            </w:r>
          </w:p>
          <w:p w14:paraId="5C12497A" w14:textId="7122C281" w:rsidR="006114F3" w:rsidRPr="00C24291" w:rsidRDefault="006114F3" w:rsidP="0073662F">
            <w:pPr>
              <w:pStyle w:val="ListParagraph"/>
              <w:numPr>
                <w:ilvl w:val="0"/>
                <w:numId w:val="21"/>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this [securities note / prospectus] has been approved by the [insert name of competent authority], as competent authority under Regulation (EU) 2017/1129; </w:t>
            </w:r>
          </w:p>
          <w:p w14:paraId="4499BB17" w14:textId="72B588AF" w:rsidR="006114F3" w:rsidRPr="00C24291" w:rsidRDefault="006114F3" w:rsidP="0073662F">
            <w:pPr>
              <w:pStyle w:val="ListParagraph"/>
              <w:numPr>
                <w:ilvl w:val="0"/>
                <w:numId w:val="21"/>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the [name of competent authority] only approves this [securities note / prospectus] as meeting the standards of completeness, comprehensibility and consistency imposed by Regulation 2017/EU/1129; </w:t>
            </w:r>
          </w:p>
          <w:p w14:paraId="58AB3F2A" w14:textId="71C9D190" w:rsidR="006114F3" w:rsidRPr="00C24291" w:rsidRDefault="006114F3" w:rsidP="0073662F">
            <w:pPr>
              <w:pStyle w:val="ListParagraph"/>
              <w:numPr>
                <w:ilvl w:val="0"/>
                <w:numId w:val="21"/>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such approval should not be considered as an endorsement of the quality of the securities that are the subject of this [securities note / prospectus]; </w:t>
            </w:r>
          </w:p>
          <w:p w14:paraId="0AE93440" w14:textId="77777777" w:rsidR="00F4027B" w:rsidRPr="00C24291" w:rsidRDefault="006114F3" w:rsidP="0073662F">
            <w:pPr>
              <w:pStyle w:val="ListParagraph"/>
              <w:numPr>
                <w:ilvl w:val="0"/>
                <w:numId w:val="21"/>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investors should make their own assessment as to the suitability of investing in the securities; and </w:t>
            </w:r>
          </w:p>
          <w:p w14:paraId="1146A986" w14:textId="37205FB8" w:rsidR="006114F3" w:rsidRPr="00C24291" w:rsidRDefault="006114F3" w:rsidP="0073662F">
            <w:pPr>
              <w:pStyle w:val="ListParagraph"/>
              <w:numPr>
                <w:ilvl w:val="0"/>
                <w:numId w:val="21"/>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 that the [securities note / prospectus] has been drawn up as part of </w:t>
            </w:r>
            <w:r w:rsidR="00820246">
              <w:rPr>
                <w:rFonts w:ascii="Arial" w:eastAsiaTheme="minorHAnsi" w:hAnsi="Arial" w:cs="Arial"/>
                <w:color w:val="000000"/>
                <w:sz w:val="18"/>
                <w:szCs w:val="18"/>
                <w:lang w:eastAsia="en-US"/>
              </w:rPr>
              <w:t>a UK</w:t>
            </w:r>
            <w:r w:rsidRPr="00C24291">
              <w:rPr>
                <w:rFonts w:ascii="Arial" w:eastAsiaTheme="minorHAnsi" w:hAnsi="Arial" w:cs="Arial"/>
                <w:color w:val="000000"/>
                <w:sz w:val="18"/>
                <w:szCs w:val="18"/>
                <w:lang w:eastAsia="en-US"/>
              </w:rPr>
              <w:t xml:space="preserve"> Growth prospectus in accordance with Article 15 of Regulation (EU) 2017/1129. </w:t>
            </w:r>
          </w:p>
        </w:tc>
        <w:tc>
          <w:tcPr>
            <w:tcW w:w="992" w:type="dxa"/>
            <w:shd w:val="clear" w:color="auto" w:fill="auto"/>
          </w:tcPr>
          <w:p w14:paraId="5EE2292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552D00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5049D1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69675DBB" w14:textId="77777777" w:rsidTr="0073662F">
        <w:trPr>
          <w:trHeight w:val="383"/>
        </w:trPr>
        <w:tc>
          <w:tcPr>
            <w:tcW w:w="851" w:type="dxa"/>
            <w:shd w:val="clear" w:color="auto" w:fill="auto"/>
          </w:tcPr>
          <w:p w14:paraId="31F80F37" w14:textId="357EC0F5"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1.6 </w:t>
            </w:r>
          </w:p>
        </w:tc>
        <w:tc>
          <w:tcPr>
            <w:tcW w:w="5812" w:type="dxa"/>
            <w:shd w:val="clear" w:color="auto" w:fill="auto"/>
          </w:tcPr>
          <w:p w14:paraId="5E754451" w14:textId="77777777" w:rsidR="006114F3" w:rsidRPr="00C24291" w:rsidRDefault="006114F3" w:rsidP="0073662F">
            <w:pPr>
              <w:autoSpaceDE w:val="0"/>
              <w:autoSpaceDN w:val="0"/>
              <w:adjustRightInd w:val="0"/>
              <w:spacing w:after="12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Interest of natural and legal persons involved in the issue/offer </w:t>
            </w:r>
          </w:p>
          <w:p w14:paraId="146C70BF" w14:textId="53CABA41"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A description of any interest, including a conflict of interest that is material to the issue/offer, detailing the persons involved and the nature of the interest. </w:t>
            </w:r>
          </w:p>
        </w:tc>
        <w:tc>
          <w:tcPr>
            <w:tcW w:w="992" w:type="dxa"/>
            <w:shd w:val="clear" w:color="auto" w:fill="auto"/>
          </w:tcPr>
          <w:p w14:paraId="1F2E18F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680A3C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018FB2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7BC17F27" w14:textId="77777777" w:rsidTr="0073662F">
        <w:trPr>
          <w:trHeight w:val="383"/>
        </w:trPr>
        <w:tc>
          <w:tcPr>
            <w:tcW w:w="851" w:type="dxa"/>
            <w:shd w:val="clear" w:color="auto" w:fill="auto"/>
          </w:tcPr>
          <w:p w14:paraId="0054526C" w14:textId="5ABD5629"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1.7 </w:t>
            </w:r>
          </w:p>
        </w:tc>
        <w:tc>
          <w:tcPr>
            <w:tcW w:w="5812" w:type="dxa"/>
            <w:shd w:val="clear" w:color="auto" w:fill="auto"/>
          </w:tcPr>
          <w:p w14:paraId="3DEAB301" w14:textId="0B969226"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Reasons for the offer, use of proceeds and expenses of the issue/offer </w:t>
            </w:r>
          </w:p>
        </w:tc>
        <w:tc>
          <w:tcPr>
            <w:tcW w:w="992" w:type="dxa"/>
            <w:shd w:val="clear" w:color="auto" w:fill="auto"/>
          </w:tcPr>
          <w:p w14:paraId="6FE208E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D7D52F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BE5036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9F8E5A1" w14:textId="77777777" w:rsidTr="0073662F">
        <w:trPr>
          <w:trHeight w:val="383"/>
        </w:trPr>
        <w:tc>
          <w:tcPr>
            <w:tcW w:w="851" w:type="dxa"/>
            <w:shd w:val="clear" w:color="auto" w:fill="auto"/>
          </w:tcPr>
          <w:p w14:paraId="4EA92170" w14:textId="2C9F56F6"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1.7.1 </w:t>
            </w:r>
          </w:p>
        </w:tc>
        <w:tc>
          <w:tcPr>
            <w:tcW w:w="5812" w:type="dxa"/>
            <w:shd w:val="clear" w:color="auto" w:fill="auto"/>
          </w:tcPr>
          <w:p w14:paraId="4974AAD7" w14:textId="5C06577E"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Reasons for the offer and, where applicable, the estimated net amount of the proceeds broken into each principal intended use and presented in order of priority of such uses. If the issuer is aware that the anticipated proceeds will not be sufficient to fund all the proposed uses, then state the amount and sources of other funds needed. Details must also be given </w:t>
            </w:r>
            <w:proofErr w:type="gramStart"/>
            <w:r w:rsidRPr="00C24291">
              <w:rPr>
                <w:rFonts w:ascii="Arial" w:eastAsiaTheme="minorHAnsi" w:hAnsi="Arial" w:cs="Arial"/>
                <w:color w:val="000000"/>
                <w:sz w:val="18"/>
                <w:szCs w:val="18"/>
                <w:lang w:eastAsia="en-US"/>
              </w:rPr>
              <w:t>with regard to</w:t>
            </w:r>
            <w:proofErr w:type="gramEnd"/>
            <w:r w:rsidRPr="00C24291">
              <w:rPr>
                <w:rFonts w:ascii="Arial" w:eastAsiaTheme="minorHAnsi" w:hAnsi="Arial" w:cs="Arial"/>
                <w:color w:val="000000"/>
                <w:sz w:val="18"/>
                <w:szCs w:val="18"/>
                <w:lang w:eastAsia="en-US"/>
              </w:rPr>
              <w:t xml:space="preserve"> the use of the proceeds, in particular when they are being used to acquire assets, other than in the ordinary course of business, to finance announced acquisitions of other business, or to discharge, reduce or retire indebtedness. The total net proceeds and an estimate of the total expenses of the issue/offer. </w:t>
            </w:r>
          </w:p>
        </w:tc>
        <w:tc>
          <w:tcPr>
            <w:tcW w:w="992" w:type="dxa"/>
            <w:shd w:val="clear" w:color="auto" w:fill="auto"/>
          </w:tcPr>
          <w:p w14:paraId="1BCADC3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06DEE5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45E1FD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1F94E117" w14:textId="77777777" w:rsidTr="0073662F">
        <w:trPr>
          <w:trHeight w:val="383"/>
        </w:trPr>
        <w:tc>
          <w:tcPr>
            <w:tcW w:w="851" w:type="dxa"/>
            <w:shd w:val="clear" w:color="auto" w:fill="auto"/>
          </w:tcPr>
          <w:p w14:paraId="295A251C" w14:textId="77D7DCB4"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1.7.2 </w:t>
            </w:r>
          </w:p>
        </w:tc>
        <w:tc>
          <w:tcPr>
            <w:tcW w:w="5812" w:type="dxa"/>
            <w:shd w:val="clear" w:color="auto" w:fill="auto"/>
          </w:tcPr>
          <w:p w14:paraId="024E5C0C" w14:textId="71C05E27"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An explanation about how the proceeds from this offer align with the business strategy and strategic objectives described in the registration document. </w:t>
            </w:r>
          </w:p>
        </w:tc>
        <w:tc>
          <w:tcPr>
            <w:tcW w:w="992" w:type="dxa"/>
            <w:shd w:val="clear" w:color="auto" w:fill="auto"/>
          </w:tcPr>
          <w:p w14:paraId="132DE6A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2F6EB5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5AF427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C212C91" w14:textId="77777777" w:rsidTr="0073662F">
        <w:trPr>
          <w:trHeight w:val="383"/>
        </w:trPr>
        <w:tc>
          <w:tcPr>
            <w:tcW w:w="851" w:type="dxa"/>
            <w:shd w:val="clear" w:color="auto" w:fill="auto"/>
          </w:tcPr>
          <w:p w14:paraId="253829C4" w14:textId="2F3ACE37"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1.8 </w:t>
            </w:r>
          </w:p>
        </w:tc>
        <w:tc>
          <w:tcPr>
            <w:tcW w:w="5812" w:type="dxa"/>
            <w:shd w:val="clear" w:color="auto" w:fill="auto"/>
          </w:tcPr>
          <w:p w14:paraId="76A71619" w14:textId="3381DF1F"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Additional information </w:t>
            </w:r>
          </w:p>
        </w:tc>
        <w:tc>
          <w:tcPr>
            <w:tcW w:w="992" w:type="dxa"/>
            <w:shd w:val="clear" w:color="auto" w:fill="auto"/>
          </w:tcPr>
          <w:p w14:paraId="0307AB6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8466A1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061345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2DD5ED71" w14:textId="77777777" w:rsidTr="0073662F">
        <w:trPr>
          <w:trHeight w:val="383"/>
        </w:trPr>
        <w:tc>
          <w:tcPr>
            <w:tcW w:w="851" w:type="dxa"/>
            <w:shd w:val="clear" w:color="auto" w:fill="auto"/>
          </w:tcPr>
          <w:p w14:paraId="02C75338" w14:textId="7E05F250"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1.8.1 </w:t>
            </w:r>
          </w:p>
        </w:tc>
        <w:tc>
          <w:tcPr>
            <w:tcW w:w="5812" w:type="dxa"/>
            <w:shd w:val="clear" w:color="auto" w:fill="auto"/>
          </w:tcPr>
          <w:p w14:paraId="33D03408" w14:textId="3E00642F"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If advisors connected with an issue are referred to in the securities note, a statement of the capacity in which the advisors have acted. </w:t>
            </w:r>
          </w:p>
        </w:tc>
        <w:tc>
          <w:tcPr>
            <w:tcW w:w="992" w:type="dxa"/>
            <w:shd w:val="clear" w:color="auto" w:fill="auto"/>
          </w:tcPr>
          <w:p w14:paraId="5568E29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3C9708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1EDE0C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0B608D20" w14:textId="77777777" w:rsidTr="0073662F">
        <w:trPr>
          <w:trHeight w:val="383"/>
        </w:trPr>
        <w:tc>
          <w:tcPr>
            <w:tcW w:w="851" w:type="dxa"/>
            <w:shd w:val="clear" w:color="auto" w:fill="auto"/>
          </w:tcPr>
          <w:p w14:paraId="478A97EE" w14:textId="452DDB34"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1.8.2 </w:t>
            </w:r>
          </w:p>
        </w:tc>
        <w:tc>
          <w:tcPr>
            <w:tcW w:w="5812" w:type="dxa"/>
            <w:shd w:val="clear" w:color="auto" w:fill="auto"/>
          </w:tcPr>
          <w:p w14:paraId="2AF3570F" w14:textId="7CE19F26"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An indication of other information in the securities note which has been audited or reviewed by statutory auditors and where auditors have </w:t>
            </w:r>
            <w:r w:rsidRPr="00C24291">
              <w:rPr>
                <w:rFonts w:ascii="Arial" w:hAnsi="Arial" w:cs="Arial"/>
                <w:sz w:val="18"/>
                <w:szCs w:val="18"/>
              </w:rPr>
              <w:t xml:space="preserve">produced a report. Reproduction of the report or, with permission of the competent authority, a summary of the report. </w:t>
            </w:r>
          </w:p>
        </w:tc>
        <w:tc>
          <w:tcPr>
            <w:tcW w:w="992" w:type="dxa"/>
            <w:shd w:val="clear" w:color="auto" w:fill="auto"/>
          </w:tcPr>
          <w:p w14:paraId="545FACD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577B95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D0EC9C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5357C8B6" w14:textId="77777777" w:rsidTr="0073662F">
        <w:trPr>
          <w:trHeight w:val="383"/>
        </w:trPr>
        <w:tc>
          <w:tcPr>
            <w:tcW w:w="851" w:type="dxa"/>
            <w:shd w:val="clear" w:color="auto" w:fill="auto"/>
          </w:tcPr>
          <w:p w14:paraId="104E479E" w14:textId="385F9ED2"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2 </w:t>
            </w:r>
          </w:p>
        </w:tc>
        <w:tc>
          <w:tcPr>
            <w:tcW w:w="5812" w:type="dxa"/>
            <w:shd w:val="clear" w:color="auto" w:fill="auto"/>
          </w:tcPr>
          <w:p w14:paraId="36474207" w14:textId="77777777" w:rsidR="006114F3" w:rsidRPr="00C24291" w:rsidRDefault="006114F3" w:rsidP="0073662F">
            <w:pPr>
              <w:pStyle w:val="Default"/>
              <w:spacing w:after="120"/>
              <w:rPr>
                <w:rFonts w:ascii="Arial" w:hAnsi="Arial" w:cs="Arial"/>
                <w:sz w:val="18"/>
                <w:szCs w:val="18"/>
              </w:rPr>
            </w:pPr>
            <w:r w:rsidRPr="00C24291">
              <w:rPr>
                <w:rFonts w:ascii="Arial" w:hAnsi="Arial" w:cs="Arial"/>
                <w:b/>
                <w:bCs/>
                <w:sz w:val="18"/>
                <w:szCs w:val="18"/>
              </w:rPr>
              <w:t xml:space="preserve">WORKING CAPITAL STATEMENT AND STATEMENT OF CAPITALISATION AND INDEBTEDNESS </w:t>
            </w:r>
          </w:p>
          <w:p w14:paraId="261E4487" w14:textId="59F8781D" w:rsidR="006114F3" w:rsidRPr="00C24291" w:rsidRDefault="008C683F" w:rsidP="0073662F">
            <w:pPr>
              <w:autoSpaceDE w:val="0"/>
              <w:autoSpaceDN w:val="0"/>
              <w:adjustRightInd w:val="0"/>
              <w:spacing w:after="120"/>
              <w:rPr>
                <w:rFonts w:ascii="Arial" w:eastAsiaTheme="minorHAnsi" w:hAnsi="Arial" w:cs="Arial"/>
                <w:bCs/>
                <w:sz w:val="18"/>
                <w:szCs w:val="18"/>
                <w:lang w:eastAsia="en-US"/>
              </w:rPr>
            </w:pPr>
            <w:r w:rsidRPr="008C683F">
              <w:rPr>
                <w:rFonts w:ascii="Arial" w:hAnsi="Arial" w:cs="Arial"/>
                <w:i/>
                <w:iCs/>
                <w:sz w:val="18"/>
                <w:szCs w:val="18"/>
              </w:rPr>
              <w:t>The disclosure under this section provides information on the issuer’s working capital requirements and its capitalisation and indebtedness.</w:t>
            </w:r>
            <w:r w:rsidR="006114F3" w:rsidRPr="00C24291">
              <w:rPr>
                <w:rFonts w:ascii="Arial" w:hAnsi="Arial" w:cs="Arial"/>
                <w:i/>
                <w:iCs/>
                <w:sz w:val="18"/>
                <w:szCs w:val="18"/>
              </w:rPr>
              <w:t xml:space="preserve"> </w:t>
            </w:r>
          </w:p>
        </w:tc>
        <w:tc>
          <w:tcPr>
            <w:tcW w:w="992" w:type="dxa"/>
            <w:shd w:val="clear" w:color="auto" w:fill="auto"/>
          </w:tcPr>
          <w:p w14:paraId="7237B77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E8775C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DBE29D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117C3E82" w14:textId="77777777" w:rsidTr="0073662F">
        <w:trPr>
          <w:trHeight w:val="383"/>
        </w:trPr>
        <w:tc>
          <w:tcPr>
            <w:tcW w:w="851" w:type="dxa"/>
            <w:shd w:val="clear" w:color="auto" w:fill="auto"/>
          </w:tcPr>
          <w:p w14:paraId="7820F3F3" w14:textId="0B3F225A" w:rsidR="006114F3" w:rsidRPr="00606B77" w:rsidRDefault="006114F3" w:rsidP="00C24291">
            <w:pPr>
              <w:pStyle w:val="Default"/>
              <w:spacing w:after="60"/>
              <w:rPr>
                <w:rFonts w:ascii="Arial" w:hAnsi="Arial" w:cs="Arial"/>
                <w:sz w:val="18"/>
                <w:szCs w:val="18"/>
              </w:rPr>
            </w:pPr>
            <w:r w:rsidRPr="00606B77">
              <w:rPr>
                <w:rFonts w:ascii="Arial" w:hAnsi="Arial" w:cs="Arial"/>
                <w:bCs/>
                <w:sz w:val="18"/>
                <w:szCs w:val="18"/>
              </w:rPr>
              <w:t xml:space="preserve">2.1 </w:t>
            </w:r>
          </w:p>
          <w:p w14:paraId="61E7C17A" w14:textId="1CCBEB8C" w:rsidR="006114F3" w:rsidRPr="00606B77" w:rsidRDefault="006114F3" w:rsidP="00C24291">
            <w:pPr>
              <w:pStyle w:val="Default"/>
              <w:spacing w:after="60"/>
              <w:rPr>
                <w:rFonts w:ascii="Arial" w:hAnsi="Arial" w:cs="Arial"/>
                <w:color w:val="auto"/>
                <w:sz w:val="18"/>
                <w:szCs w:val="18"/>
              </w:rPr>
            </w:pPr>
          </w:p>
        </w:tc>
        <w:tc>
          <w:tcPr>
            <w:tcW w:w="5812" w:type="dxa"/>
            <w:shd w:val="clear" w:color="auto" w:fill="auto"/>
          </w:tcPr>
          <w:p w14:paraId="43A47266"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Working capital Statement </w:t>
            </w:r>
          </w:p>
          <w:p w14:paraId="12F64F46" w14:textId="56182084" w:rsidR="006114F3" w:rsidRPr="00C24291" w:rsidRDefault="008C683F" w:rsidP="0073662F">
            <w:pPr>
              <w:autoSpaceDE w:val="0"/>
              <w:autoSpaceDN w:val="0"/>
              <w:adjustRightInd w:val="0"/>
              <w:spacing w:after="120"/>
              <w:rPr>
                <w:rFonts w:ascii="Arial" w:eastAsiaTheme="minorHAnsi" w:hAnsi="Arial" w:cs="Arial"/>
                <w:bCs/>
                <w:sz w:val="18"/>
                <w:szCs w:val="18"/>
                <w:lang w:eastAsia="en-US"/>
              </w:rPr>
            </w:pPr>
            <w:r w:rsidRPr="008C683F">
              <w:rPr>
                <w:rFonts w:ascii="Arial" w:hAnsi="Arial" w:cs="Arial"/>
                <w:sz w:val="18"/>
                <w:szCs w:val="18"/>
              </w:rPr>
              <w:lastRenderedPageBreak/>
              <w:t>Statement by the issuer that, in its opinion, the working capital is sufficient for the issuer’s present requirements or, if not, how it proposes to provide the additional working capital needed.</w:t>
            </w:r>
            <w:r w:rsidR="006114F3" w:rsidRPr="00C24291">
              <w:rPr>
                <w:rFonts w:ascii="Arial" w:hAnsi="Arial" w:cs="Arial"/>
                <w:sz w:val="18"/>
                <w:szCs w:val="18"/>
              </w:rPr>
              <w:t xml:space="preserve"> </w:t>
            </w:r>
          </w:p>
        </w:tc>
        <w:tc>
          <w:tcPr>
            <w:tcW w:w="992" w:type="dxa"/>
            <w:shd w:val="clear" w:color="auto" w:fill="auto"/>
          </w:tcPr>
          <w:p w14:paraId="0E4BDDC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F87579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636DAF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00990698" w14:textId="77777777" w:rsidTr="0073662F">
        <w:trPr>
          <w:trHeight w:val="383"/>
        </w:trPr>
        <w:tc>
          <w:tcPr>
            <w:tcW w:w="851" w:type="dxa"/>
            <w:shd w:val="clear" w:color="auto" w:fill="auto"/>
          </w:tcPr>
          <w:p w14:paraId="47ABC306" w14:textId="10157C9D" w:rsidR="006114F3" w:rsidRPr="00606B77" w:rsidRDefault="006114F3" w:rsidP="00C24291">
            <w:pPr>
              <w:pStyle w:val="Default"/>
              <w:spacing w:after="60"/>
              <w:rPr>
                <w:rFonts w:ascii="Arial" w:hAnsi="Arial" w:cs="Arial"/>
                <w:sz w:val="18"/>
                <w:szCs w:val="18"/>
              </w:rPr>
            </w:pPr>
            <w:r w:rsidRPr="00606B77">
              <w:rPr>
                <w:rFonts w:ascii="Arial" w:hAnsi="Arial" w:cs="Arial"/>
                <w:bCs/>
                <w:sz w:val="18"/>
                <w:szCs w:val="18"/>
              </w:rPr>
              <w:t xml:space="preserve">2.2 </w:t>
            </w:r>
          </w:p>
          <w:p w14:paraId="01238FD7" w14:textId="23658856" w:rsidR="006114F3" w:rsidRPr="00606B77" w:rsidRDefault="006114F3" w:rsidP="00C24291">
            <w:pPr>
              <w:pStyle w:val="Default"/>
              <w:spacing w:after="60"/>
              <w:rPr>
                <w:rFonts w:ascii="Arial" w:hAnsi="Arial" w:cs="Arial"/>
                <w:color w:val="auto"/>
                <w:sz w:val="18"/>
                <w:szCs w:val="18"/>
              </w:rPr>
            </w:pPr>
            <w:r w:rsidRPr="00606B77">
              <w:rPr>
                <w:rFonts w:ascii="Arial" w:hAnsi="Arial" w:cs="Arial"/>
                <w:sz w:val="18"/>
                <w:szCs w:val="18"/>
              </w:rPr>
              <w:t xml:space="preserve">Issuers with market capitalisation above EUR 200 000 000 only </w:t>
            </w:r>
          </w:p>
        </w:tc>
        <w:tc>
          <w:tcPr>
            <w:tcW w:w="5812" w:type="dxa"/>
            <w:shd w:val="clear" w:color="auto" w:fill="auto"/>
          </w:tcPr>
          <w:p w14:paraId="092C05D7"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Capitalisation and indebtedness </w:t>
            </w:r>
          </w:p>
          <w:p w14:paraId="68B5D918" w14:textId="77777777" w:rsidR="008C683F" w:rsidRPr="008C683F" w:rsidRDefault="008C683F" w:rsidP="0073662F">
            <w:pPr>
              <w:pStyle w:val="Default"/>
              <w:spacing w:after="120"/>
              <w:rPr>
                <w:rFonts w:ascii="Arial" w:hAnsi="Arial" w:cs="Arial"/>
                <w:sz w:val="18"/>
                <w:szCs w:val="18"/>
              </w:rPr>
            </w:pPr>
            <w:r w:rsidRPr="008C683F">
              <w:rPr>
                <w:rFonts w:ascii="Arial" w:hAnsi="Arial" w:cs="Arial"/>
                <w:sz w:val="18"/>
                <w:szCs w:val="18"/>
              </w:rPr>
              <w:t>A statement of capitalisation and indebtedness (distinguishing between guaranteed and unguaranteed, secured and unsecured indebtedness) as of a date no earlier than 90 days prior to the date of the document. The term ‘indebtedness’ also includes indirect and contingent indebtedness.</w:t>
            </w:r>
          </w:p>
          <w:p w14:paraId="4C51E1E1" w14:textId="7668C78F" w:rsidR="006114F3" w:rsidRPr="00C24291" w:rsidRDefault="008C683F" w:rsidP="0073662F">
            <w:pPr>
              <w:autoSpaceDE w:val="0"/>
              <w:autoSpaceDN w:val="0"/>
              <w:adjustRightInd w:val="0"/>
              <w:spacing w:after="120"/>
              <w:rPr>
                <w:rFonts w:ascii="Arial" w:eastAsiaTheme="minorHAnsi" w:hAnsi="Arial" w:cs="Arial"/>
                <w:bCs/>
                <w:sz w:val="18"/>
                <w:szCs w:val="18"/>
                <w:lang w:eastAsia="en-US"/>
              </w:rPr>
            </w:pPr>
            <w:r w:rsidRPr="008C683F">
              <w:rPr>
                <w:rFonts w:ascii="Arial" w:hAnsi="Arial" w:cs="Arial"/>
                <w:sz w:val="18"/>
                <w:szCs w:val="18"/>
              </w:rPr>
              <w:t xml:space="preserve">In the case of material changes in the capitalisation and indebtedness position of the issuer within the </w:t>
            </w:r>
            <w:proofErr w:type="gramStart"/>
            <w:r w:rsidRPr="008C683F">
              <w:rPr>
                <w:rFonts w:ascii="Arial" w:hAnsi="Arial" w:cs="Arial"/>
                <w:sz w:val="18"/>
                <w:szCs w:val="18"/>
              </w:rPr>
              <w:t>90 day</w:t>
            </w:r>
            <w:proofErr w:type="gramEnd"/>
            <w:r w:rsidRPr="008C683F">
              <w:rPr>
                <w:rFonts w:ascii="Arial" w:hAnsi="Arial" w:cs="Arial"/>
                <w:sz w:val="18"/>
                <w:szCs w:val="18"/>
              </w:rPr>
              <w:t xml:space="preserve"> period, additional information shall be given through the presentation of a narrative description of such changes or through the updating of those figures.</w:t>
            </w:r>
            <w:r w:rsidR="006114F3" w:rsidRPr="00C24291">
              <w:rPr>
                <w:rFonts w:ascii="Arial" w:hAnsi="Arial" w:cs="Arial"/>
                <w:sz w:val="18"/>
                <w:szCs w:val="18"/>
              </w:rPr>
              <w:t xml:space="preserve"> </w:t>
            </w:r>
          </w:p>
        </w:tc>
        <w:tc>
          <w:tcPr>
            <w:tcW w:w="992" w:type="dxa"/>
            <w:shd w:val="clear" w:color="auto" w:fill="auto"/>
          </w:tcPr>
          <w:p w14:paraId="7C53461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1B58F8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D4F91C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7B5A5E14" w14:textId="77777777" w:rsidTr="0073662F">
        <w:trPr>
          <w:trHeight w:val="383"/>
        </w:trPr>
        <w:tc>
          <w:tcPr>
            <w:tcW w:w="851" w:type="dxa"/>
            <w:shd w:val="clear" w:color="auto" w:fill="auto"/>
          </w:tcPr>
          <w:p w14:paraId="2EE77641" w14:textId="475CB4C2"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3 </w:t>
            </w:r>
          </w:p>
        </w:tc>
        <w:tc>
          <w:tcPr>
            <w:tcW w:w="5812" w:type="dxa"/>
            <w:shd w:val="clear" w:color="auto" w:fill="auto"/>
          </w:tcPr>
          <w:p w14:paraId="396B36F9" w14:textId="77777777" w:rsidR="006114F3" w:rsidRPr="00C24291" w:rsidRDefault="006114F3" w:rsidP="0073662F">
            <w:pPr>
              <w:pStyle w:val="Default"/>
              <w:spacing w:after="120"/>
              <w:rPr>
                <w:rFonts w:ascii="Arial" w:hAnsi="Arial" w:cs="Arial"/>
                <w:sz w:val="18"/>
                <w:szCs w:val="18"/>
              </w:rPr>
            </w:pPr>
            <w:r w:rsidRPr="00C24291">
              <w:rPr>
                <w:rFonts w:ascii="Arial" w:hAnsi="Arial" w:cs="Arial"/>
                <w:b/>
                <w:bCs/>
                <w:sz w:val="18"/>
                <w:szCs w:val="18"/>
              </w:rPr>
              <w:t xml:space="preserve">RISK FACTORS </w:t>
            </w:r>
          </w:p>
          <w:p w14:paraId="00B05889" w14:textId="6128B975"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i/>
                <w:iCs/>
                <w:sz w:val="18"/>
                <w:szCs w:val="18"/>
              </w:rPr>
              <w:t xml:space="preserve">The purpose of this section is to describe the main risks which are specific to the securities of the issuer. </w:t>
            </w:r>
          </w:p>
        </w:tc>
        <w:tc>
          <w:tcPr>
            <w:tcW w:w="992" w:type="dxa"/>
            <w:shd w:val="clear" w:color="auto" w:fill="auto"/>
          </w:tcPr>
          <w:p w14:paraId="084126B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677BF2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AED441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41BEEF9" w14:textId="77777777" w:rsidTr="0073662F">
        <w:trPr>
          <w:trHeight w:val="383"/>
        </w:trPr>
        <w:tc>
          <w:tcPr>
            <w:tcW w:w="851" w:type="dxa"/>
            <w:shd w:val="clear" w:color="auto" w:fill="auto"/>
          </w:tcPr>
          <w:p w14:paraId="7EDA39F6" w14:textId="235A4311"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3.1 </w:t>
            </w:r>
          </w:p>
        </w:tc>
        <w:tc>
          <w:tcPr>
            <w:tcW w:w="5812" w:type="dxa"/>
            <w:shd w:val="clear" w:color="auto" w:fill="auto"/>
          </w:tcPr>
          <w:p w14:paraId="5CF80631"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A description of the material risks that are specific to the securities being offered in a limited number of categories, in a section headed ‘Risk Factors’. </w:t>
            </w:r>
          </w:p>
          <w:p w14:paraId="14EE963E" w14:textId="32127D03"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In each category the most material risks, in the assessment of the issuer or offeror </w:t>
            </w:r>
            <w:proofErr w:type="gramStart"/>
            <w:r w:rsidRPr="00C24291">
              <w:rPr>
                <w:rFonts w:ascii="Arial" w:hAnsi="Arial" w:cs="Arial"/>
                <w:sz w:val="18"/>
                <w:szCs w:val="18"/>
              </w:rPr>
              <w:t>taking into account</w:t>
            </w:r>
            <w:proofErr w:type="gramEnd"/>
            <w:r w:rsidRPr="00C24291">
              <w:rPr>
                <w:rFonts w:ascii="Arial" w:hAnsi="Arial" w:cs="Arial"/>
                <w:sz w:val="18"/>
                <w:szCs w:val="18"/>
              </w:rPr>
              <w:t xml:space="preserve"> their impact on the issuer and the securities and the probability of their occurrence, shall be set out first. The risks shall be corroborated by the content of the securities note. </w:t>
            </w:r>
          </w:p>
        </w:tc>
        <w:tc>
          <w:tcPr>
            <w:tcW w:w="992" w:type="dxa"/>
            <w:shd w:val="clear" w:color="auto" w:fill="auto"/>
          </w:tcPr>
          <w:p w14:paraId="2006966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C3B02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949826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814FFEE" w14:textId="77777777" w:rsidTr="0073662F">
        <w:trPr>
          <w:trHeight w:val="383"/>
        </w:trPr>
        <w:tc>
          <w:tcPr>
            <w:tcW w:w="851" w:type="dxa"/>
            <w:shd w:val="clear" w:color="auto" w:fill="auto"/>
          </w:tcPr>
          <w:p w14:paraId="434BA566" w14:textId="4A8F417B"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 </w:t>
            </w:r>
          </w:p>
        </w:tc>
        <w:tc>
          <w:tcPr>
            <w:tcW w:w="5812" w:type="dxa"/>
            <w:shd w:val="clear" w:color="auto" w:fill="auto"/>
          </w:tcPr>
          <w:p w14:paraId="7D9A0A1A" w14:textId="77777777" w:rsidR="006114F3" w:rsidRPr="00C24291" w:rsidRDefault="006114F3" w:rsidP="0073662F">
            <w:pPr>
              <w:pStyle w:val="Default"/>
              <w:spacing w:after="120"/>
              <w:rPr>
                <w:rFonts w:ascii="Arial" w:hAnsi="Arial" w:cs="Arial"/>
                <w:sz w:val="18"/>
                <w:szCs w:val="18"/>
              </w:rPr>
            </w:pPr>
            <w:r w:rsidRPr="00C24291">
              <w:rPr>
                <w:rFonts w:ascii="Arial" w:hAnsi="Arial" w:cs="Arial"/>
                <w:b/>
                <w:bCs/>
                <w:sz w:val="18"/>
                <w:szCs w:val="18"/>
              </w:rPr>
              <w:t xml:space="preserve">TERMS AND CONDITIONS OF THE SECURITIES </w:t>
            </w:r>
          </w:p>
          <w:p w14:paraId="481500DD" w14:textId="198278BD"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i/>
                <w:iCs/>
                <w:sz w:val="18"/>
                <w:szCs w:val="18"/>
              </w:rPr>
              <w:t xml:space="preserve">The purpose of this section is to set out the terms and conditions of the securities and provides a detailed description of their characteristics. </w:t>
            </w:r>
          </w:p>
        </w:tc>
        <w:tc>
          <w:tcPr>
            <w:tcW w:w="992" w:type="dxa"/>
            <w:shd w:val="clear" w:color="auto" w:fill="auto"/>
          </w:tcPr>
          <w:p w14:paraId="68CEEAB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50F2C7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228F39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7840F5EB" w14:textId="77777777" w:rsidTr="0073662F">
        <w:trPr>
          <w:trHeight w:val="383"/>
        </w:trPr>
        <w:tc>
          <w:tcPr>
            <w:tcW w:w="851" w:type="dxa"/>
            <w:shd w:val="clear" w:color="auto" w:fill="auto"/>
          </w:tcPr>
          <w:p w14:paraId="4DC16A81" w14:textId="58CBA736"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 </w:t>
            </w:r>
          </w:p>
        </w:tc>
        <w:tc>
          <w:tcPr>
            <w:tcW w:w="5812" w:type="dxa"/>
            <w:shd w:val="clear" w:color="auto" w:fill="auto"/>
          </w:tcPr>
          <w:p w14:paraId="101FB846" w14:textId="75944BF7"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Information concerning the securities to be offered. </w:t>
            </w:r>
          </w:p>
        </w:tc>
        <w:tc>
          <w:tcPr>
            <w:tcW w:w="992" w:type="dxa"/>
            <w:shd w:val="clear" w:color="auto" w:fill="auto"/>
          </w:tcPr>
          <w:p w14:paraId="2BED0E0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03EF52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A4FF39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1204E26" w14:textId="77777777" w:rsidTr="0073662F">
        <w:trPr>
          <w:trHeight w:val="383"/>
        </w:trPr>
        <w:tc>
          <w:tcPr>
            <w:tcW w:w="851" w:type="dxa"/>
            <w:shd w:val="clear" w:color="auto" w:fill="auto"/>
          </w:tcPr>
          <w:p w14:paraId="495CE068" w14:textId="17DA99C3"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4.1.1 </w:t>
            </w:r>
          </w:p>
        </w:tc>
        <w:tc>
          <w:tcPr>
            <w:tcW w:w="5812" w:type="dxa"/>
            <w:shd w:val="clear" w:color="auto" w:fill="auto"/>
          </w:tcPr>
          <w:p w14:paraId="0B19BFBD" w14:textId="29316CDE"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A description of the type and the class of the securities being offered, including the international security identification number (‘ISIN’). </w:t>
            </w:r>
          </w:p>
        </w:tc>
        <w:tc>
          <w:tcPr>
            <w:tcW w:w="992" w:type="dxa"/>
            <w:shd w:val="clear" w:color="auto" w:fill="auto"/>
          </w:tcPr>
          <w:p w14:paraId="75DD73D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BB242E5"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0BD16C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6A64E5F1" w14:textId="77777777" w:rsidTr="0073662F">
        <w:trPr>
          <w:trHeight w:val="383"/>
        </w:trPr>
        <w:tc>
          <w:tcPr>
            <w:tcW w:w="851" w:type="dxa"/>
            <w:shd w:val="clear" w:color="auto" w:fill="auto"/>
          </w:tcPr>
          <w:p w14:paraId="58F20F0D" w14:textId="38498AD5"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4.1.2 </w:t>
            </w:r>
          </w:p>
        </w:tc>
        <w:tc>
          <w:tcPr>
            <w:tcW w:w="5812" w:type="dxa"/>
            <w:shd w:val="clear" w:color="auto" w:fill="auto"/>
          </w:tcPr>
          <w:p w14:paraId="59383898" w14:textId="3A2C329C"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Legislation under which the securities have been created. </w:t>
            </w:r>
          </w:p>
        </w:tc>
        <w:tc>
          <w:tcPr>
            <w:tcW w:w="992" w:type="dxa"/>
            <w:shd w:val="clear" w:color="auto" w:fill="auto"/>
          </w:tcPr>
          <w:p w14:paraId="5CDFF50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6C74D1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6E5D68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5B9B5BDB" w14:textId="77777777" w:rsidTr="0073662F">
        <w:trPr>
          <w:trHeight w:val="383"/>
        </w:trPr>
        <w:tc>
          <w:tcPr>
            <w:tcW w:w="851" w:type="dxa"/>
            <w:shd w:val="clear" w:color="auto" w:fill="auto"/>
          </w:tcPr>
          <w:p w14:paraId="76BAC120" w14:textId="785FE1AC"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4.1.3 </w:t>
            </w:r>
          </w:p>
        </w:tc>
        <w:tc>
          <w:tcPr>
            <w:tcW w:w="5812" w:type="dxa"/>
            <w:shd w:val="clear" w:color="auto" w:fill="auto"/>
          </w:tcPr>
          <w:p w14:paraId="74B6596C"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An indication whether the securities are in registered form or bearer form and whether the securities are in certificated form or book-entry form. </w:t>
            </w:r>
          </w:p>
          <w:p w14:paraId="758FDA5D" w14:textId="12917109"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In the case of book-entry form, the name and address of the entity in charge of keeping the records. </w:t>
            </w:r>
          </w:p>
        </w:tc>
        <w:tc>
          <w:tcPr>
            <w:tcW w:w="992" w:type="dxa"/>
            <w:shd w:val="clear" w:color="auto" w:fill="auto"/>
          </w:tcPr>
          <w:p w14:paraId="2AB917C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9D2CA3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6A5A44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D80F7DA" w14:textId="77777777" w:rsidTr="0073662F">
        <w:trPr>
          <w:trHeight w:val="383"/>
        </w:trPr>
        <w:tc>
          <w:tcPr>
            <w:tcW w:w="851" w:type="dxa"/>
            <w:shd w:val="clear" w:color="auto" w:fill="auto"/>
          </w:tcPr>
          <w:p w14:paraId="47D3FACC" w14:textId="11616A97"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4.1.4 </w:t>
            </w:r>
          </w:p>
        </w:tc>
        <w:tc>
          <w:tcPr>
            <w:tcW w:w="5812" w:type="dxa"/>
            <w:shd w:val="clear" w:color="auto" w:fill="auto"/>
          </w:tcPr>
          <w:p w14:paraId="2A49345C" w14:textId="472F1721"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Currency of the securities issue. </w:t>
            </w:r>
          </w:p>
        </w:tc>
        <w:tc>
          <w:tcPr>
            <w:tcW w:w="992" w:type="dxa"/>
            <w:shd w:val="clear" w:color="auto" w:fill="auto"/>
          </w:tcPr>
          <w:p w14:paraId="556A758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02AA5A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F222F65"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CEE4F53" w14:textId="77777777" w:rsidTr="0073662F">
        <w:trPr>
          <w:trHeight w:val="383"/>
        </w:trPr>
        <w:tc>
          <w:tcPr>
            <w:tcW w:w="851" w:type="dxa"/>
            <w:shd w:val="clear" w:color="auto" w:fill="auto"/>
          </w:tcPr>
          <w:p w14:paraId="731F52DE" w14:textId="6142D3EF"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4.1.5 </w:t>
            </w:r>
          </w:p>
        </w:tc>
        <w:tc>
          <w:tcPr>
            <w:tcW w:w="5812" w:type="dxa"/>
            <w:shd w:val="clear" w:color="auto" w:fill="auto"/>
          </w:tcPr>
          <w:p w14:paraId="764BC82A" w14:textId="77777777" w:rsidR="006114F3" w:rsidRPr="00C24291" w:rsidRDefault="006114F3" w:rsidP="0073662F">
            <w:pPr>
              <w:autoSpaceDE w:val="0"/>
              <w:autoSpaceDN w:val="0"/>
              <w:adjustRightInd w:val="0"/>
              <w:spacing w:after="120"/>
              <w:rPr>
                <w:rFonts w:ascii="Arial" w:hAnsi="Arial" w:cs="Arial"/>
                <w:sz w:val="18"/>
                <w:szCs w:val="18"/>
              </w:rPr>
            </w:pPr>
            <w:r w:rsidRPr="00C24291">
              <w:rPr>
                <w:rFonts w:ascii="Arial" w:hAnsi="Arial" w:cs="Arial"/>
                <w:sz w:val="18"/>
                <w:szCs w:val="18"/>
              </w:rPr>
              <w:t xml:space="preserve">A description of the rights attached to the securities, including any limitations of those rights, and procedure for the exercise of those rights: </w:t>
            </w:r>
          </w:p>
          <w:p w14:paraId="409A5677" w14:textId="176EB8F3" w:rsidR="006114F3" w:rsidRPr="00C24291" w:rsidRDefault="006114F3" w:rsidP="0073662F">
            <w:pPr>
              <w:pStyle w:val="ListParagraph"/>
              <w:numPr>
                <w:ilvl w:val="0"/>
                <w:numId w:val="23"/>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dividend rights: </w:t>
            </w:r>
          </w:p>
          <w:p w14:paraId="7BF3DBE9" w14:textId="7AFA7CD5" w:rsidR="006114F3" w:rsidRPr="00C24291" w:rsidRDefault="006114F3" w:rsidP="0073662F">
            <w:pPr>
              <w:pStyle w:val="ListParagraph"/>
              <w:numPr>
                <w:ilvl w:val="0"/>
                <w:numId w:val="24"/>
              </w:numPr>
              <w:autoSpaceDE w:val="0"/>
              <w:autoSpaceDN w:val="0"/>
              <w:adjustRightInd w:val="0"/>
              <w:spacing w:after="120"/>
              <w:ind w:left="108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fixed date(s) on which the entitlement arises; </w:t>
            </w:r>
          </w:p>
          <w:p w14:paraId="554871D4" w14:textId="7E69DE4E" w:rsidR="006114F3" w:rsidRPr="00C24291" w:rsidRDefault="006114F3" w:rsidP="0073662F">
            <w:pPr>
              <w:pStyle w:val="ListParagraph"/>
              <w:numPr>
                <w:ilvl w:val="0"/>
                <w:numId w:val="24"/>
              </w:numPr>
              <w:autoSpaceDE w:val="0"/>
              <w:autoSpaceDN w:val="0"/>
              <w:adjustRightInd w:val="0"/>
              <w:spacing w:after="120"/>
              <w:ind w:left="108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time limit after which entitlement to dividend lapses and an indication of the person in whose favour the lapse operates; </w:t>
            </w:r>
          </w:p>
          <w:p w14:paraId="5743B957" w14:textId="4FD38B06" w:rsidR="006114F3" w:rsidRPr="00C24291" w:rsidRDefault="006114F3" w:rsidP="0073662F">
            <w:pPr>
              <w:pStyle w:val="ListParagraph"/>
              <w:numPr>
                <w:ilvl w:val="0"/>
                <w:numId w:val="24"/>
              </w:numPr>
              <w:autoSpaceDE w:val="0"/>
              <w:autoSpaceDN w:val="0"/>
              <w:adjustRightInd w:val="0"/>
              <w:spacing w:after="120"/>
              <w:ind w:left="108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dividend restrictions and procedures for non-resident holders; </w:t>
            </w:r>
          </w:p>
          <w:p w14:paraId="5C2A2AF3" w14:textId="6CD23F1A" w:rsidR="006114F3" w:rsidRPr="00C24291" w:rsidRDefault="006114F3" w:rsidP="0073662F">
            <w:pPr>
              <w:pStyle w:val="ListParagraph"/>
              <w:numPr>
                <w:ilvl w:val="0"/>
                <w:numId w:val="24"/>
              </w:numPr>
              <w:autoSpaceDE w:val="0"/>
              <w:autoSpaceDN w:val="0"/>
              <w:adjustRightInd w:val="0"/>
              <w:spacing w:after="120"/>
              <w:ind w:left="108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rate of dividend or method of its calculation, periodicity and cumulative or non-cumulative nature of payments; </w:t>
            </w:r>
          </w:p>
          <w:p w14:paraId="58BE9F24" w14:textId="3178CF84" w:rsidR="006114F3" w:rsidRPr="00C24291" w:rsidRDefault="006114F3" w:rsidP="0073662F">
            <w:pPr>
              <w:pStyle w:val="ListParagraph"/>
              <w:numPr>
                <w:ilvl w:val="0"/>
                <w:numId w:val="23"/>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voting rights; </w:t>
            </w:r>
          </w:p>
          <w:p w14:paraId="23EC1361" w14:textId="3FFE3108" w:rsidR="006114F3" w:rsidRPr="00C24291" w:rsidRDefault="006114F3" w:rsidP="0073662F">
            <w:pPr>
              <w:pStyle w:val="ListParagraph"/>
              <w:numPr>
                <w:ilvl w:val="0"/>
                <w:numId w:val="23"/>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lastRenderedPageBreak/>
              <w:t xml:space="preserve">pre-emption rights in offers for subscription of securities of the same class; </w:t>
            </w:r>
          </w:p>
          <w:p w14:paraId="32B027E9" w14:textId="5216A076" w:rsidR="006114F3" w:rsidRPr="00C24291" w:rsidRDefault="006114F3" w:rsidP="0073662F">
            <w:pPr>
              <w:pStyle w:val="ListParagraph"/>
              <w:numPr>
                <w:ilvl w:val="0"/>
                <w:numId w:val="23"/>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right to share in the issuer’s profits; </w:t>
            </w:r>
          </w:p>
          <w:p w14:paraId="2AF7EDE9" w14:textId="3A006A7F" w:rsidR="006114F3" w:rsidRPr="00C24291" w:rsidRDefault="006114F3" w:rsidP="0073662F">
            <w:pPr>
              <w:pStyle w:val="ListParagraph"/>
              <w:numPr>
                <w:ilvl w:val="0"/>
                <w:numId w:val="23"/>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right to share in any surplus in the event of liquidation; </w:t>
            </w:r>
          </w:p>
          <w:p w14:paraId="046EDC70" w14:textId="6F89646F" w:rsidR="006114F3" w:rsidRPr="00C24291" w:rsidRDefault="006114F3" w:rsidP="0073662F">
            <w:pPr>
              <w:pStyle w:val="ListParagraph"/>
              <w:numPr>
                <w:ilvl w:val="0"/>
                <w:numId w:val="23"/>
              </w:numPr>
              <w:autoSpaceDE w:val="0"/>
              <w:autoSpaceDN w:val="0"/>
              <w:adjustRightInd w:val="0"/>
              <w:spacing w:after="120"/>
              <w:ind w:left="360"/>
              <w:contextualSpacing w:val="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redemption provisions; </w:t>
            </w:r>
          </w:p>
          <w:p w14:paraId="13BAFAA0" w14:textId="46C6AF0C" w:rsidR="006114F3" w:rsidRPr="00C24291" w:rsidRDefault="006114F3" w:rsidP="0073662F">
            <w:pPr>
              <w:pStyle w:val="ListParagraph"/>
              <w:numPr>
                <w:ilvl w:val="0"/>
                <w:numId w:val="23"/>
              </w:numPr>
              <w:autoSpaceDE w:val="0"/>
              <w:autoSpaceDN w:val="0"/>
              <w:adjustRightInd w:val="0"/>
              <w:spacing w:after="120"/>
              <w:ind w:left="360"/>
              <w:contextualSpacing w:val="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conversion provisions. </w:t>
            </w:r>
          </w:p>
        </w:tc>
        <w:tc>
          <w:tcPr>
            <w:tcW w:w="992" w:type="dxa"/>
            <w:shd w:val="clear" w:color="auto" w:fill="auto"/>
          </w:tcPr>
          <w:p w14:paraId="072D75D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60F596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5E6A90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9DD6E74" w14:textId="77777777" w:rsidTr="0073662F">
        <w:trPr>
          <w:trHeight w:val="383"/>
        </w:trPr>
        <w:tc>
          <w:tcPr>
            <w:tcW w:w="851" w:type="dxa"/>
            <w:shd w:val="clear" w:color="auto" w:fill="auto"/>
          </w:tcPr>
          <w:p w14:paraId="032476AC" w14:textId="5BC950B0"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4.1.6 </w:t>
            </w:r>
          </w:p>
        </w:tc>
        <w:tc>
          <w:tcPr>
            <w:tcW w:w="5812" w:type="dxa"/>
            <w:shd w:val="clear" w:color="auto" w:fill="auto"/>
          </w:tcPr>
          <w:p w14:paraId="28E959AF" w14:textId="67966826"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In the case of new </w:t>
            </w:r>
            <w:proofErr w:type="gramStart"/>
            <w:r w:rsidRPr="00C24291">
              <w:rPr>
                <w:rFonts w:ascii="Arial" w:eastAsiaTheme="minorHAnsi" w:hAnsi="Arial" w:cs="Arial"/>
                <w:color w:val="000000"/>
                <w:sz w:val="18"/>
                <w:szCs w:val="18"/>
                <w:lang w:eastAsia="en-US"/>
              </w:rPr>
              <w:t>issues</w:t>
            </w:r>
            <w:proofErr w:type="gramEnd"/>
            <w:r w:rsidRPr="00C24291">
              <w:rPr>
                <w:rFonts w:ascii="Arial" w:eastAsiaTheme="minorHAnsi" w:hAnsi="Arial" w:cs="Arial"/>
                <w:color w:val="000000"/>
                <w:sz w:val="18"/>
                <w:szCs w:val="18"/>
                <w:lang w:eastAsia="en-US"/>
              </w:rPr>
              <w:t xml:space="preserve"> a statement of the resolutions, authorisations and approvals by virtue of which the securities have been or will be created and/or issued. </w:t>
            </w:r>
          </w:p>
        </w:tc>
        <w:tc>
          <w:tcPr>
            <w:tcW w:w="992" w:type="dxa"/>
            <w:shd w:val="clear" w:color="auto" w:fill="auto"/>
          </w:tcPr>
          <w:p w14:paraId="1B22671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1D8D58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683D05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91A31FA" w14:textId="77777777" w:rsidTr="0073662F">
        <w:trPr>
          <w:trHeight w:val="383"/>
        </w:trPr>
        <w:tc>
          <w:tcPr>
            <w:tcW w:w="851" w:type="dxa"/>
            <w:shd w:val="clear" w:color="auto" w:fill="auto"/>
          </w:tcPr>
          <w:p w14:paraId="6DA395D8" w14:textId="55295A1C"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4.1.7 </w:t>
            </w:r>
          </w:p>
        </w:tc>
        <w:tc>
          <w:tcPr>
            <w:tcW w:w="5812" w:type="dxa"/>
            <w:shd w:val="clear" w:color="auto" w:fill="auto"/>
          </w:tcPr>
          <w:p w14:paraId="37B86E24" w14:textId="2C3AF1E5"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The issue date (for non-equity securities) or in the case of new issues the expected issue date of the securities. </w:t>
            </w:r>
          </w:p>
        </w:tc>
        <w:tc>
          <w:tcPr>
            <w:tcW w:w="992" w:type="dxa"/>
            <w:shd w:val="clear" w:color="auto" w:fill="auto"/>
          </w:tcPr>
          <w:p w14:paraId="3966197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CECDC6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5CF346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61E65E7A" w14:textId="77777777" w:rsidTr="0073662F">
        <w:trPr>
          <w:trHeight w:val="383"/>
        </w:trPr>
        <w:tc>
          <w:tcPr>
            <w:tcW w:w="851" w:type="dxa"/>
            <w:shd w:val="clear" w:color="auto" w:fill="auto"/>
          </w:tcPr>
          <w:p w14:paraId="22FF817C" w14:textId="2E72CCC6"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4.1.8 </w:t>
            </w:r>
          </w:p>
        </w:tc>
        <w:tc>
          <w:tcPr>
            <w:tcW w:w="5812" w:type="dxa"/>
            <w:shd w:val="clear" w:color="auto" w:fill="auto"/>
          </w:tcPr>
          <w:p w14:paraId="3F17381B" w14:textId="07B00920"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A description of any restrictions on the transferability of the securities. </w:t>
            </w:r>
          </w:p>
        </w:tc>
        <w:tc>
          <w:tcPr>
            <w:tcW w:w="992" w:type="dxa"/>
            <w:shd w:val="clear" w:color="auto" w:fill="auto"/>
          </w:tcPr>
          <w:p w14:paraId="78D0374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6E585F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E515995"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906FCA5" w14:textId="77777777" w:rsidTr="0073662F">
        <w:trPr>
          <w:trHeight w:val="383"/>
        </w:trPr>
        <w:tc>
          <w:tcPr>
            <w:tcW w:w="851" w:type="dxa"/>
            <w:shd w:val="clear" w:color="auto" w:fill="auto"/>
          </w:tcPr>
          <w:p w14:paraId="0720D37F" w14:textId="0526914A"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4.1.9 </w:t>
            </w:r>
          </w:p>
        </w:tc>
        <w:tc>
          <w:tcPr>
            <w:tcW w:w="5812" w:type="dxa"/>
            <w:shd w:val="clear" w:color="auto" w:fill="auto"/>
          </w:tcPr>
          <w:p w14:paraId="427D8FF5" w14:textId="77777777" w:rsidR="006114F3" w:rsidRPr="00C24291" w:rsidRDefault="006114F3" w:rsidP="0073662F">
            <w:pPr>
              <w:autoSpaceDE w:val="0"/>
              <w:autoSpaceDN w:val="0"/>
              <w:adjustRightInd w:val="0"/>
              <w:spacing w:after="120"/>
              <w:rPr>
                <w:rFonts w:ascii="Arial" w:eastAsiaTheme="minorHAnsi" w:hAnsi="Arial" w:cs="Arial"/>
                <w:color w:val="000000"/>
                <w:sz w:val="18"/>
                <w:szCs w:val="18"/>
                <w:lang w:eastAsia="en-US"/>
              </w:rPr>
            </w:pPr>
            <w:r w:rsidRPr="00C24291">
              <w:rPr>
                <w:rFonts w:ascii="Arial" w:eastAsiaTheme="minorHAnsi" w:hAnsi="Arial" w:cs="Arial"/>
                <w:color w:val="000000"/>
                <w:sz w:val="18"/>
                <w:szCs w:val="18"/>
                <w:lang w:eastAsia="en-US"/>
              </w:rPr>
              <w:t xml:space="preserve">A warning that the tax legislation of the investor's Member State and of the issuer's country of incorporation may have an impact on the income received from the securities. </w:t>
            </w:r>
          </w:p>
          <w:p w14:paraId="115E6A1C" w14:textId="66089453"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 xml:space="preserve">Information on the taxation treatment of the securities where the proposed investment attracts a tax regime specific to that type of investment. </w:t>
            </w:r>
          </w:p>
        </w:tc>
        <w:tc>
          <w:tcPr>
            <w:tcW w:w="992" w:type="dxa"/>
            <w:shd w:val="clear" w:color="auto" w:fill="auto"/>
          </w:tcPr>
          <w:p w14:paraId="6E1965C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F624035"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746250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1C29CD1" w14:textId="77777777" w:rsidTr="0073662F">
        <w:trPr>
          <w:trHeight w:val="383"/>
        </w:trPr>
        <w:tc>
          <w:tcPr>
            <w:tcW w:w="851" w:type="dxa"/>
            <w:shd w:val="clear" w:color="auto" w:fill="auto"/>
          </w:tcPr>
          <w:p w14:paraId="3E72EBBB" w14:textId="33A070B1"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4.1.10 </w:t>
            </w:r>
          </w:p>
        </w:tc>
        <w:tc>
          <w:tcPr>
            <w:tcW w:w="5812" w:type="dxa"/>
            <w:shd w:val="clear" w:color="auto" w:fill="auto"/>
          </w:tcPr>
          <w:p w14:paraId="59CA2958" w14:textId="1685896B"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eastAsiaTheme="minorHAnsi" w:hAnsi="Arial" w:cs="Arial"/>
                <w:color w:val="000000"/>
                <w:sz w:val="18"/>
                <w:szCs w:val="18"/>
                <w:lang w:eastAsia="en-US"/>
              </w:rPr>
              <w:t>If different from the issuer, the identity and contact details of the offeror of the securities and/or the person asking for admission to trading, including the legal entity identifier (‘LEI’) where the offeror has legal personality</w:t>
            </w:r>
          </w:p>
        </w:tc>
        <w:tc>
          <w:tcPr>
            <w:tcW w:w="992" w:type="dxa"/>
            <w:shd w:val="clear" w:color="auto" w:fill="auto"/>
          </w:tcPr>
          <w:p w14:paraId="3BA0E89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707B79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E1B8B7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741AF4E" w14:textId="77777777" w:rsidTr="0073662F">
        <w:trPr>
          <w:trHeight w:val="383"/>
        </w:trPr>
        <w:tc>
          <w:tcPr>
            <w:tcW w:w="851" w:type="dxa"/>
            <w:shd w:val="clear" w:color="auto" w:fill="auto"/>
          </w:tcPr>
          <w:p w14:paraId="5B7C54E4" w14:textId="2D10019B"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4.1.11 </w:t>
            </w:r>
          </w:p>
        </w:tc>
        <w:tc>
          <w:tcPr>
            <w:tcW w:w="5812" w:type="dxa"/>
            <w:shd w:val="clear" w:color="auto" w:fill="auto"/>
          </w:tcPr>
          <w:p w14:paraId="1A4456AB" w14:textId="196EAEEA" w:rsidR="006114F3" w:rsidRPr="00C24291" w:rsidRDefault="006114F3" w:rsidP="0073662F">
            <w:pPr>
              <w:pStyle w:val="Default"/>
              <w:numPr>
                <w:ilvl w:val="0"/>
                <w:numId w:val="25"/>
              </w:numPr>
              <w:spacing w:after="120"/>
              <w:rPr>
                <w:rFonts w:ascii="Arial" w:hAnsi="Arial" w:cs="Arial"/>
                <w:sz w:val="18"/>
                <w:szCs w:val="18"/>
              </w:rPr>
            </w:pPr>
            <w:r w:rsidRPr="00C24291">
              <w:rPr>
                <w:rFonts w:ascii="Arial" w:hAnsi="Arial" w:cs="Arial"/>
                <w:sz w:val="18"/>
                <w:szCs w:val="18"/>
              </w:rPr>
              <w:t xml:space="preserve">Statement on the existence of national legislation or rules on takeovers applicable to the issuer and the possibility for frustrating measures if any; </w:t>
            </w:r>
          </w:p>
          <w:p w14:paraId="4ABDAA9F" w14:textId="3756898C" w:rsidR="006114F3" w:rsidRPr="00C24291" w:rsidRDefault="006114F3" w:rsidP="0073662F">
            <w:pPr>
              <w:pStyle w:val="Default"/>
              <w:numPr>
                <w:ilvl w:val="0"/>
                <w:numId w:val="25"/>
              </w:numPr>
              <w:spacing w:after="120"/>
              <w:rPr>
                <w:rFonts w:ascii="Arial" w:hAnsi="Arial" w:cs="Arial"/>
                <w:sz w:val="18"/>
                <w:szCs w:val="18"/>
              </w:rPr>
            </w:pPr>
            <w:r w:rsidRPr="00C24291">
              <w:rPr>
                <w:rFonts w:ascii="Arial" w:hAnsi="Arial" w:cs="Arial"/>
                <w:sz w:val="18"/>
                <w:szCs w:val="18"/>
              </w:rPr>
              <w:t xml:space="preserve">a brief description of the shareholders’ rights and obligations in case of mandatory takeover bid, and/or squeeze-out or sell-out rules in relation to the securities; </w:t>
            </w:r>
          </w:p>
          <w:p w14:paraId="4BD188AB" w14:textId="19B6B983" w:rsidR="006114F3" w:rsidRPr="00C24291" w:rsidRDefault="006114F3" w:rsidP="0073662F">
            <w:pPr>
              <w:pStyle w:val="Default"/>
              <w:numPr>
                <w:ilvl w:val="0"/>
                <w:numId w:val="25"/>
              </w:numPr>
              <w:spacing w:after="120"/>
              <w:rPr>
                <w:rFonts w:ascii="Arial" w:hAnsi="Arial" w:cs="Arial"/>
                <w:bCs/>
                <w:sz w:val="18"/>
                <w:szCs w:val="18"/>
              </w:rPr>
            </w:pPr>
            <w:r w:rsidRPr="00C24291">
              <w:rPr>
                <w:rFonts w:ascii="Arial" w:hAnsi="Arial" w:cs="Arial"/>
                <w:sz w:val="18"/>
                <w:szCs w:val="18"/>
              </w:rPr>
              <w:t xml:space="preserve">an indication of public takeover bids by third parties in respect of the issuer’s equity, which have occurred during the last financial year and the current financial year. The price or exchange terms attaching to such offers and the outcome thereof must also be stated. </w:t>
            </w:r>
          </w:p>
        </w:tc>
        <w:tc>
          <w:tcPr>
            <w:tcW w:w="992" w:type="dxa"/>
            <w:shd w:val="clear" w:color="auto" w:fill="auto"/>
          </w:tcPr>
          <w:p w14:paraId="4074D9C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DD41A2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CFB7EF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377EFDA" w14:textId="77777777" w:rsidTr="0073662F">
        <w:trPr>
          <w:trHeight w:val="383"/>
        </w:trPr>
        <w:tc>
          <w:tcPr>
            <w:tcW w:w="851" w:type="dxa"/>
            <w:shd w:val="clear" w:color="auto" w:fill="auto"/>
          </w:tcPr>
          <w:p w14:paraId="44CAEB89" w14:textId="5A1A5FD7"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4.1.12 </w:t>
            </w:r>
          </w:p>
        </w:tc>
        <w:tc>
          <w:tcPr>
            <w:tcW w:w="5812" w:type="dxa"/>
            <w:shd w:val="clear" w:color="auto" w:fill="auto"/>
          </w:tcPr>
          <w:p w14:paraId="37BAB392" w14:textId="6BAC93FF"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Where applicable, the potential impact on the investment in the event of resolution under </w:t>
            </w:r>
            <w:r w:rsidR="00820246">
              <w:rPr>
                <w:rFonts w:ascii="Arial" w:hAnsi="Arial" w:cs="Arial"/>
                <w:sz w:val="18"/>
                <w:szCs w:val="18"/>
              </w:rPr>
              <w:t xml:space="preserve">the UK law which implemented </w:t>
            </w:r>
            <w:r w:rsidRPr="00C24291">
              <w:rPr>
                <w:rFonts w:ascii="Arial" w:hAnsi="Arial" w:cs="Arial"/>
                <w:sz w:val="18"/>
                <w:szCs w:val="18"/>
              </w:rPr>
              <w:t xml:space="preserve">Directive 2014/59/EU. </w:t>
            </w:r>
          </w:p>
        </w:tc>
        <w:tc>
          <w:tcPr>
            <w:tcW w:w="992" w:type="dxa"/>
            <w:shd w:val="clear" w:color="auto" w:fill="auto"/>
          </w:tcPr>
          <w:p w14:paraId="1087C8D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430FA6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6025B5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8C683F" w:rsidRPr="00C24291" w14:paraId="5D80096F" w14:textId="77777777" w:rsidTr="0073662F">
        <w:trPr>
          <w:trHeight w:val="383"/>
        </w:trPr>
        <w:tc>
          <w:tcPr>
            <w:tcW w:w="851" w:type="dxa"/>
            <w:shd w:val="clear" w:color="auto" w:fill="auto"/>
          </w:tcPr>
          <w:p w14:paraId="1EA39C65" w14:textId="6DE0EAC8" w:rsidR="008C683F" w:rsidRPr="00606B77" w:rsidRDefault="008C683F" w:rsidP="00C24291">
            <w:pPr>
              <w:pStyle w:val="Default"/>
              <w:spacing w:after="60"/>
              <w:rPr>
                <w:rFonts w:ascii="Arial" w:hAnsi="Arial" w:cs="Arial"/>
                <w:bCs/>
                <w:sz w:val="18"/>
                <w:szCs w:val="18"/>
              </w:rPr>
            </w:pPr>
            <w:r w:rsidRPr="00606B77">
              <w:rPr>
                <w:rFonts w:ascii="Arial" w:hAnsi="Arial" w:cs="Arial"/>
                <w:bCs/>
                <w:sz w:val="18"/>
                <w:szCs w:val="18"/>
              </w:rPr>
              <w:t>4.2</w:t>
            </w:r>
          </w:p>
        </w:tc>
        <w:tc>
          <w:tcPr>
            <w:tcW w:w="5812" w:type="dxa"/>
            <w:shd w:val="clear" w:color="auto" w:fill="auto"/>
          </w:tcPr>
          <w:p w14:paraId="05B38219" w14:textId="48375624" w:rsidR="008C683F" w:rsidRPr="00C24291" w:rsidRDefault="008C683F" w:rsidP="0073662F">
            <w:pPr>
              <w:autoSpaceDE w:val="0"/>
              <w:autoSpaceDN w:val="0"/>
              <w:adjustRightInd w:val="0"/>
              <w:spacing w:after="120"/>
              <w:rPr>
                <w:rFonts w:ascii="Arial" w:hAnsi="Arial" w:cs="Arial"/>
                <w:sz w:val="18"/>
                <w:szCs w:val="18"/>
              </w:rPr>
            </w:pPr>
            <w:r w:rsidRPr="008C683F">
              <w:rPr>
                <w:rFonts w:ascii="Arial" w:hAnsi="Arial" w:cs="Arial"/>
                <w:sz w:val="18"/>
                <w:szCs w:val="18"/>
              </w:rPr>
              <w:t>In the case of issuance of shares with warrants, the information referred to in Article 20(2).</w:t>
            </w:r>
          </w:p>
        </w:tc>
        <w:tc>
          <w:tcPr>
            <w:tcW w:w="992" w:type="dxa"/>
            <w:shd w:val="clear" w:color="auto" w:fill="auto"/>
          </w:tcPr>
          <w:p w14:paraId="52929D6C"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DAE15BE"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A850E3C"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94A55B0" w14:textId="77777777" w:rsidTr="0073662F">
        <w:trPr>
          <w:trHeight w:val="383"/>
        </w:trPr>
        <w:tc>
          <w:tcPr>
            <w:tcW w:w="851" w:type="dxa"/>
            <w:shd w:val="clear" w:color="auto" w:fill="auto"/>
          </w:tcPr>
          <w:p w14:paraId="0C9DBDDB" w14:textId="74CFDEB4"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 </w:t>
            </w:r>
          </w:p>
        </w:tc>
        <w:tc>
          <w:tcPr>
            <w:tcW w:w="5812" w:type="dxa"/>
            <w:shd w:val="clear" w:color="auto" w:fill="auto"/>
          </w:tcPr>
          <w:p w14:paraId="0A372625" w14:textId="77777777" w:rsidR="006114F3" w:rsidRPr="00C24291" w:rsidRDefault="006114F3" w:rsidP="0073662F">
            <w:pPr>
              <w:pStyle w:val="Default"/>
              <w:spacing w:after="120"/>
              <w:rPr>
                <w:rFonts w:ascii="Arial" w:hAnsi="Arial" w:cs="Arial"/>
                <w:sz w:val="18"/>
                <w:szCs w:val="18"/>
              </w:rPr>
            </w:pPr>
            <w:r w:rsidRPr="00C24291">
              <w:rPr>
                <w:rFonts w:ascii="Arial" w:hAnsi="Arial" w:cs="Arial"/>
                <w:b/>
                <w:bCs/>
                <w:sz w:val="18"/>
                <w:szCs w:val="18"/>
              </w:rPr>
              <w:t xml:space="preserve">DETAILS OF THE OFFER/ADMISSION TO TRADING </w:t>
            </w:r>
          </w:p>
          <w:p w14:paraId="1A892160" w14:textId="00BF1790"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i/>
                <w:iCs/>
                <w:sz w:val="18"/>
                <w:szCs w:val="18"/>
              </w:rPr>
              <w:t xml:space="preserve">The purpose of this section is to set out the specific information on the offer of the securities, the plan for their distribution and allotment, an indication of their pricing. Moreover, it presents information on the placing of the securities, any underwriting agreements and arrangements relating to admission to trading. It also sets out information on the persons selling the securities and dilution to existing shareholders. </w:t>
            </w:r>
          </w:p>
        </w:tc>
        <w:tc>
          <w:tcPr>
            <w:tcW w:w="992" w:type="dxa"/>
            <w:shd w:val="clear" w:color="auto" w:fill="auto"/>
          </w:tcPr>
          <w:p w14:paraId="19D216C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BC16F6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6DC378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5C0196D6" w14:textId="77777777" w:rsidTr="0073662F">
        <w:trPr>
          <w:trHeight w:val="383"/>
        </w:trPr>
        <w:tc>
          <w:tcPr>
            <w:tcW w:w="851" w:type="dxa"/>
            <w:shd w:val="clear" w:color="auto" w:fill="auto"/>
          </w:tcPr>
          <w:p w14:paraId="3BD71D17" w14:textId="40DB8E5A"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 </w:t>
            </w:r>
          </w:p>
        </w:tc>
        <w:tc>
          <w:tcPr>
            <w:tcW w:w="5812" w:type="dxa"/>
            <w:shd w:val="clear" w:color="auto" w:fill="auto"/>
          </w:tcPr>
          <w:p w14:paraId="19A0E74F"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Terms and conditions of the offer of securities to the public. </w:t>
            </w:r>
          </w:p>
          <w:p w14:paraId="4683CFF3" w14:textId="4CD68EBA"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Conditions, offer statistics, expected timetable and action required to apply for the offer. </w:t>
            </w:r>
          </w:p>
        </w:tc>
        <w:tc>
          <w:tcPr>
            <w:tcW w:w="992" w:type="dxa"/>
            <w:shd w:val="clear" w:color="auto" w:fill="auto"/>
          </w:tcPr>
          <w:p w14:paraId="49CD79E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AC9E6C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EA7876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A16737F" w14:textId="77777777" w:rsidTr="0073662F">
        <w:trPr>
          <w:trHeight w:val="383"/>
        </w:trPr>
        <w:tc>
          <w:tcPr>
            <w:tcW w:w="851" w:type="dxa"/>
            <w:shd w:val="clear" w:color="auto" w:fill="auto"/>
          </w:tcPr>
          <w:p w14:paraId="1531F062" w14:textId="41F0E4F7"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5.1.1 </w:t>
            </w:r>
          </w:p>
        </w:tc>
        <w:tc>
          <w:tcPr>
            <w:tcW w:w="5812" w:type="dxa"/>
            <w:shd w:val="clear" w:color="auto" w:fill="auto"/>
          </w:tcPr>
          <w:p w14:paraId="37DFADFA" w14:textId="3016D2EC"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Conditions to which the offer is subject. </w:t>
            </w:r>
          </w:p>
        </w:tc>
        <w:tc>
          <w:tcPr>
            <w:tcW w:w="992" w:type="dxa"/>
            <w:shd w:val="clear" w:color="auto" w:fill="auto"/>
          </w:tcPr>
          <w:p w14:paraId="1B22298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89F4A5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1F333C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2BCD89B1" w14:textId="77777777" w:rsidTr="0073662F">
        <w:trPr>
          <w:trHeight w:val="383"/>
        </w:trPr>
        <w:tc>
          <w:tcPr>
            <w:tcW w:w="851" w:type="dxa"/>
            <w:shd w:val="clear" w:color="auto" w:fill="auto"/>
          </w:tcPr>
          <w:p w14:paraId="4E3F2B0B" w14:textId="518CC281"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5.1.2 </w:t>
            </w:r>
          </w:p>
        </w:tc>
        <w:tc>
          <w:tcPr>
            <w:tcW w:w="5812" w:type="dxa"/>
            <w:shd w:val="clear" w:color="auto" w:fill="auto"/>
          </w:tcPr>
          <w:p w14:paraId="6CEDF443"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Total amount of the issue/offer distinguishing the securities offered for sale and those offered for subscription; if the amount is not fixed, an indication of the maximum amount of securities to be offered (if </w:t>
            </w:r>
            <w:r w:rsidRPr="00C24291">
              <w:rPr>
                <w:rFonts w:ascii="Arial" w:hAnsi="Arial" w:cs="Arial"/>
                <w:sz w:val="18"/>
                <w:szCs w:val="18"/>
              </w:rPr>
              <w:lastRenderedPageBreak/>
              <w:t xml:space="preserve">available) and a description of the arrangements and the </w:t>
            </w:r>
            <w:proofErr w:type="gramStart"/>
            <w:r w:rsidRPr="00C24291">
              <w:rPr>
                <w:rFonts w:ascii="Arial" w:hAnsi="Arial" w:cs="Arial"/>
                <w:sz w:val="18"/>
                <w:szCs w:val="18"/>
              </w:rPr>
              <w:t>time period</w:t>
            </w:r>
            <w:proofErr w:type="gramEnd"/>
            <w:r w:rsidRPr="00C24291">
              <w:rPr>
                <w:rFonts w:ascii="Arial" w:hAnsi="Arial" w:cs="Arial"/>
                <w:sz w:val="18"/>
                <w:szCs w:val="18"/>
              </w:rPr>
              <w:t xml:space="preserve"> for announcing to the public the definitive amount of the offer. </w:t>
            </w:r>
          </w:p>
          <w:p w14:paraId="686327D3" w14:textId="7FC09AC2"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Where the maximum amount of securities cannot be provided in the prospectus, the prospectus shall specify that acceptances of the purchase or subscription of securities may be withdrawn for not less than two working days after the amount of securities to be offered to the public has been filed. </w:t>
            </w:r>
          </w:p>
        </w:tc>
        <w:tc>
          <w:tcPr>
            <w:tcW w:w="992" w:type="dxa"/>
            <w:shd w:val="clear" w:color="auto" w:fill="auto"/>
          </w:tcPr>
          <w:p w14:paraId="3EFBB9E5"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A1763C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E5B9E1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D7DD0B3" w14:textId="77777777" w:rsidTr="0073662F">
        <w:trPr>
          <w:trHeight w:val="383"/>
        </w:trPr>
        <w:tc>
          <w:tcPr>
            <w:tcW w:w="851" w:type="dxa"/>
            <w:shd w:val="clear" w:color="auto" w:fill="auto"/>
          </w:tcPr>
          <w:p w14:paraId="4240E137" w14:textId="200EA27C"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5.1.3 </w:t>
            </w:r>
          </w:p>
        </w:tc>
        <w:tc>
          <w:tcPr>
            <w:tcW w:w="5812" w:type="dxa"/>
            <w:shd w:val="clear" w:color="auto" w:fill="auto"/>
          </w:tcPr>
          <w:p w14:paraId="4E0CCAC7" w14:textId="1D14E3D3"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The </w:t>
            </w:r>
            <w:proofErr w:type="gramStart"/>
            <w:r w:rsidRPr="00C24291">
              <w:rPr>
                <w:rFonts w:ascii="Arial" w:hAnsi="Arial" w:cs="Arial"/>
                <w:sz w:val="18"/>
                <w:szCs w:val="18"/>
              </w:rPr>
              <w:t>time period</w:t>
            </w:r>
            <w:proofErr w:type="gramEnd"/>
            <w:r w:rsidRPr="00C24291">
              <w:rPr>
                <w:rFonts w:ascii="Arial" w:hAnsi="Arial" w:cs="Arial"/>
                <w:sz w:val="18"/>
                <w:szCs w:val="18"/>
              </w:rPr>
              <w:t xml:space="preserve">, including any possible amendments, during which the offer will be open and description of the application process. </w:t>
            </w:r>
          </w:p>
        </w:tc>
        <w:tc>
          <w:tcPr>
            <w:tcW w:w="992" w:type="dxa"/>
            <w:shd w:val="clear" w:color="auto" w:fill="auto"/>
          </w:tcPr>
          <w:p w14:paraId="5BCC1F4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0D9426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9D5788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29703D5" w14:textId="77777777" w:rsidTr="0073662F">
        <w:trPr>
          <w:trHeight w:val="383"/>
        </w:trPr>
        <w:tc>
          <w:tcPr>
            <w:tcW w:w="851" w:type="dxa"/>
            <w:shd w:val="clear" w:color="auto" w:fill="auto"/>
          </w:tcPr>
          <w:p w14:paraId="48A28ACA" w14:textId="6C7C3DCB"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5.1.4 </w:t>
            </w:r>
          </w:p>
        </w:tc>
        <w:tc>
          <w:tcPr>
            <w:tcW w:w="5812" w:type="dxa"/>
            <w:shd w:val="clear" w:color="auto" w:fill="auto"/>
          </w:tcPr>
          <w:p w14:paraId="1EB34AE4" w14:textId="2D715BDC"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An indication of when, and under which circumstances, the offer may be revoked or suspended and whether revocation can occur after dealing has begun. </w:t>
            </w:r>
          </w:p>
        </w:tc>
        <w:tc>
          <w:tcPr>
            <w:tcW w:w="992" w:type="dxa"/>
            <w:shd w:val="clear" w:color="auto" w:fill="auto"/>
          </w:tcPr>
          <w:p w14:paraId="5F4CC8B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FBC338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21173E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2E91BAC8" w14:textId="77777777" w:rsidTr="0073662F">
        <w:trPr>
          <w:trHeight w:val="383"/>
        </w:trPr>
        <w:tc>
          <w:tcPr>
            <w:tcW w:w="851" w:type="dxa"/>
            <w:shd w:val="clear" w:color="auto" w:fill="auto"/>
          </w:tcPr>
          <w:p w14:paraId="35F8B8B0" w14:textId="755B9146"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5.1.5 </w:t>
            </w:r>
          </w:p>
        </w:tc>
        <w:tc>
          <w:tcPr>
            <w:tcW w:w="5812" w:type="dxa"/>
            <w:shd w:val="clear" w:color="auto" w:fill="auto"/>
          </w:tcPr>
          <w:p w14:paraId="21D21693" w14:textId="074CF553"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A description of any possibility to reduce subscriptions and the manner for refunding amounts paid in excess by applicants. </w:t>
            </w:r>
          </w:p>
        </w:tc>
        <w:tc>
          <w:tcPr>
            <w:tcW w:w="992" w:type="dxa"/>
            <w:shd w:val="clear" w:color="auto" w:fill="auto"/>
          </w:tcPr>
          <w:p w14:paraId="13B8C8B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F7E62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B44197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5BAAC373" w14:textId="77777777" w:rsidTr="0073662F">
        <w:trPr>
          <w:trHeight w:val="383"/>
        </w:trPr>
        <w:tc>
          <w:tcPr>
            <w:tcW w:w="851" w:type="dxa"/>
            <w:shd w:val="clear" w:color="auto" w:fill="auto"/>
          </w:tcPr>
          <w:p w14:paraId="09629B80" w14:textId="54E1266F"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5.1.6 </w:t>
            </w:r>
          </w:p>
        </w:tc>
        <w:tc>
          <w:tcPr>
            <w:tcW w:w="5812" w:type="dxa"/>
            <w:shd w:val="clear" w:color="auto" w:fill="auto"/>
          </w:tcPr>
          <w:p w14:paraId="26F43A0B" w14:textId="032B242B"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Details of the minimum and/or maximum amount of application (whether in number of securities or aggregate amount to invest). </w:t>
            </w:r>
          </w:p>
        </w:tc>
        <w:tc>
          <w:tcPr>
            <w:tcW w:w="992" w:type="dxa"/>
            <w:shd w:val="clear" w:color="auto" w:fill="auto"/>
          </w:tcPr>
          <w:p w14:paraId="026388D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F859FE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455690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01B7019" w14:textId="77777777" w:rsidTr="0073662F">
        <w:trPr>
          <w:trHeight w:val="383"/>
        </w:trPr>
        <w:tc>
          <w:tcPr>
            <w:tcW w:w="851" w:type="dxa"/>
            <w:shd w:val="clear" w:color="auto" w:fill="auto"/>
          </w:tcPr>
          <w:p w14:paraId="5670B6B0" w14:textId="5C8C61D7"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5.1.7 </w:t>
            </w:r>
          </w:p>
        </w:tc>
        <w:tc>
          <w:tcPr>
            <w:tcW w:w="5812" w:type="dxa"/>
            <w:shd w:val="clear" w:color="auto" w:fill="auto"/>
          </w:tcPr>
          <w:p w14:paraId="3D1D718D" w14:textId="7A720BB4"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An indication of the period during which an application may be withdrawn, </w:t>
            </w:r>
            <w:proofErr w:type="gramStart"/>
            <w:r w:rsidRPr="00C24291">
              <w:rPr>
                <w:rFonts w:ascii="Arial" w:hAnsi="Arial" w:cs="Arial"/>
                <w:sz w:val="18"/>
                <w:szCs w:val="18"/>
              </w:rPr>
              <w:t>provided that</w:t>
            </w:r>
            <w:proofErr w:type="gramEnd"/>
            <w:r w:rsidRPr="00C24291">
              <w:rPr>
                <w:rFonts w:ascii="Arial" w:hAnsi="Arial" w:cs="Arial"/>
                <w:sz w:val="18"/>
                <w:szCs w:val="18"/>
              </w:rPr>
              <w:t xml:space="preserve"> investors are allowed to withdraw their subscription. </w:t>
            </w:r>
          </w:p>
        </w:tc>
        <w:tc>
          <w:tcPr>
            <w:tcW w:w="992" w:type="dxa"/>
            <w:shd w:val="clear" w:color="auto" w:fill="auto"/>
          </w:tcPr>
          <w:p w14:paraId="2D9A127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AC3AD8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FE4303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3B06CCE" w14:textId="77777777" w:rsidTr="0073662F">
        <w:trPr>
          <w:trHeight w:val="383"/>
        </w:trPr>
        <w:tc>
          <w:tcPr>
            <w:tcW w:w="851" w:type="dxa"/>
            <w:shd w:val="clear" w:color="auto" w:fill="auto"/>
          </w:tcPr>
          <w:p w14:paraId="67B31E8D" w14:textId="10925611"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5.1.8 </w:t>
            </w:r>
          </w:p>
        </w:tc>
        <w:tc>
          <w:tcPr>
            <w:tcW w:w="5812" w:type="dxa"/>
            <w:shd w:val="clear" w:color="auto" w:fill="auto"/>
          </w:tcPr>
          <w:p w14:paraId="5DA7E6C1" w14:textId="7953B92B"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Method and time limits for paying up the securities and for delivery of the securities. </w:t>
            </w:r>
          </w:p>
        </w:tc>
        <w:tc>
          <w:tcPr>
            <w:tcW w:w="992" w:type="dxa"/>
            <w:shd w:val="clear" w:color="auto" w:fill="auto"/>
          </w:tcPr>
          <w:p w14:paraId="0D4C6AA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7A4822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D20F05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C665A6B" w14:textId="77777777" w:rsidTr="0073662F">
        <w:trPr>
          <w:trHeight w:val="383"/>
        </w:trPr>
        <w:tc>
          <w:tcPr>
            <w:tcW w:w="851" w:type="dxa"/>
            <w:shd w:val="clear" w:color="auto" w:fill="auto"/>
          </w:tcPr>
          <w:p w14:paraId="782AA224" w14:textId="58FC7F4C"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5.1.9 </w:t>
            </w:r>
          </w:p>
        </w:tc>
        <w:tc>
          <w:tcPr>
            <w:tcW w:w="5812" w:type="dxa"/>
            <w:shd w:val="clear" w:color="auto" w:fill="auto"/>
          </w:tcPr>
          <w:p w14:paraId="169B44C1" w14:textId="6D313FF3"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A full description of the manner and date in which results of the offer are to be made public. </w:t>
            </w:r>
          </w:p>
        </w:tc>
        <w:tc>
          <w:tcPr>
            <w:tcW w:w="992" w:type="dxa"/>
            <w:shd w:val="clear" w:color="auto" w:fill="auto"/>
          </w:tcPr>
          <w:p w14:paraId="5DA9556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43D966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9C096D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018A552A" w14:textId="77777777" w:rsidTr="0073662F">
        <w:trPr>
          <w:trHeight w:val="383"/>
        </w:trPr>
        <w:tc>
          <w:tcPr>
            <w:tcW w:w="851" w:type="dxa"/>
            <w:shd w:val="clear" w:color="auto" w:fill="auto"/>
          </w:tcPr>
          <w:p w14:paraId="11ADD857" w14:textId="69AC7E7E"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5.1.10 </w:t>
            </w:r>
          </w:p>
        </w:tc>
        <w:tc>
          <w:tcPr>
            <w:tcW w:w="5812" w:type="dxa"/>
            <w:shd w:val="clear" w:color="auto" w:fill="auto"/>
          </w:tcPr>
          <w:p w14:paraId="55513C0C" w14:textId="66DFFD54"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The procedure for the exercise of any right of pre-emption, the negotiability of subscription rights and the treatment of subscription rights not exercised. </w:t>
            </w:r>
          </w:p>
        </w:tc>
        <w:tc>
          <w:tcPr>
            <w:tcW w:w="992" w:type="dxa"/>
            <w:shd w:val="clear" w:color="auto" w:fill="auto"/>
          </w:tcPr>
          <w:p w14:paraId="28798C4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A07333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143CFD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7E263024" w14:textId="77777777" w:rsidTr="0073662F">
        <w:trPr>
          <w:trHeight w:val="383"/>
        </w:trPr>
        <w:tc>
          <w:tcPr>
            <w:tcW w:w="851" w:type="dxa"/>
            <w:shd w:val="clear" w:color="auto" w:fill="auto"/>
          </w:tcPr>
          <w:p w14:paraId="13E0EC33" w14:textId="197D9998"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5.2 </w:t>
            </w:r>
          </w:p>
        </w:tc>
        <w:tc>
          <w:tcPr>
            <w:tcW w:w="5812" w:type="dxa"/>
            <w:shd w:val="clear" w:color="auto" w:fill="auto"/>
          </w:tcPr>
          <w:p w14:paraId="36D2283C" w14:textId="213CE29F"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Plan of distribution and allotment </w:t>
            </w:r>
          </w:p>
        </w:tc>
        <w:tc>
          <w:tcPr>
            <w:tcW w:w="992" w:type="dxa"/>
            <w:shd w:val="clear" w:color="auto" w:fill="auto"/>
          </w:tcPr>
          <w:p w14:paraId="375E591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98DAD2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B37FE5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6C4F8F68" w14:textId="77777777" w:rsidTr="0073662F">
        <w:trPr>
          <w:trHeight w:val="383"/>
        </w:trPr>
        <w:tc>
          <w:tcPr>
            <w:tcW w:w="851" w:type="dxa"/>
            <w:shd w:val="clear" w:color="auto" w:fill="auto"/>
          </w:tcPr>
          <w:p w14:paraId="418B7907" w14:textId="027A0C54"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5.2.1 </w:t>
            </w:r>
          </w:p>
        </w:tc>
        <w:tc>
          <w:tcPr>
            <w:tcW w:w="5812" w:type="dxa"/>
            <w:shd w:val="clear" w:color="auto" w:fill="auto"/>
          </w:tcPr>
          <w:p w14:paraId="0D824D88"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The various categories of potential investors to which the securities are offered. </w:t>
            </w:r>
          </w:p>
          <w:p w14:paraId="1EAEEB92" w14:textId="5AE52449"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If the offer is being made simultaneously in the markets of two or more countries and if a tranche has been or is being reserved for certain of these, indicate any such tranche. </w:t>
            </w:r>
          </w:p>
        </w:tc>
        <w:tc>
          <w:tcPr>
            <w:tcW w:w="992" w:type="dxa"/>
            <w:shd w:val="clear" w:color="auto" w:fill="auto"/>
          </w:tcPr>
          <w:p w14:paraId="378FF45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89D7F3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D25C05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228D258D" w14:textId="77777777" w:rsidTr="0073662F">
        <w:trPr>
          <w:trHeight w:val="383"/>
        </w:trPr>
        <w:tc>
          <w:tcPr>
            <w:tcW w:w="851" w:type="dxa"/>
            <w:shd w:val="clear" w:color="auto" w:fill="auto"/>
          </w:tcPr>
          <w:p w14:paraId="439BDAFA" w14:textId="1F379728"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5.2.2 </w:t>
            </w:r>
          </w:p>
        </w:tc>
        <w:tc>
          <w:tcPr>
            <w:tcW w:w="5812" w:type="dxa"/>
            <w:shd w:val="clear" w:color="auto" w:fill="auto"/>
          </w:tcPr>
          <w:p w14:paraId="4D2C7300" w14:textId="60C7FAA0"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To the extent known to the issuer, an indication of whether major shareholders or members of the issuer's management, supervisory or administrative bodies intended to subscribe in the offer, or whether any person intends to subscribe for more than five per cent of the offer. </w:t>
            </w:r>
          </w:p>
        </w:tc>
        <w:tc>
          <w:tcPr>
            <w:tcW w:w="992" w:type="dxa"/>
            <w:shd w:val="clear" w:color="auto" w:fill="auto"/>
          </w:tcPr>
          <w:p w14:paraId="3D449A1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BD8756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A1D568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D4757A7" w14:textId="77777777" w:rsidTr="0073662F">
        <w:trPr>
          <w:trHeight w:val="383"/>
        </w:trPr>
        <w:tc>
          <w:tcPr>
            <w:tcW w:w="851" w:type="dxa"/>
            <w:shd w:val="clear" w:color="auto" w:fill="auto"/>
          </w:tcPr>
          <w:p w14:paraId="0CB77A9A" w14:textId="32AEAC8E"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5.2.3 </w:t>
            </w:r>
          </w:p>
        </w:tc>
        <w:tc>
          <w:tcPr>
            <w:tcW w:w="5812" w:type="dxa"/>
            <w:shd w:val="clear" w:color="auto" w:fill="auto"/>
          </w:tcPr>
          <w:p w14:paraId="57F1DB10"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Pre-allotment Disclosure: </w:t>
            </w:r>
          </w:p>
          <w:p w14:paraId="746DCC67" w14:textId="70745DDD" w:rsidR="006114F3" w:rsidRPr="00C24291" w:rsidRDefault="006114F3" w:rsidP="0073662F">
            <w:pPr>
              <w:pStyle w:val="Default"/>
              <w:numPr>
                <w:ilvl w:val="1"/>
                <w:numId w:val="24"/>
              </w:numPr>
              <w:spacing w:after="120"/>
              <w:ind w:left="360"/>
              <w:rPr>
                <w:rFonts w:ascii="Arial" w:hAnsi="Arial" w:cs="Arial"/>
                <w:sz w:val="18"/>
                <w:szCs w:val="18"/>
              </w:rPr>
            </w:pPr>
            <w:r w:rsidRPr="00C24291">
              <w:rPr>
                <w:rFonts w:ascii="Arial" w:hAnsi="Arial" w:cs="Arial"/>
                <w:sz w:val="18"/>
                <w:szCs w:val="18"/>
              </w:rPr>
              <w:t xml:space="preserve">the division into tranches of the offer including the institutional, retail and issuer’s employee tranches and any other tranches; </w:t>
            </w:r>
          </w:p>
          <w:p w14:paraId="33477238" w14:textId="3B41E7BB" w:rsidR="006114F3" w:rsidRPr="00C24291" w:rsidRDefault="006114F3" w:rsidP="0073662F">
            <w:pPr>
              <w:pStyle w:val="Default"/>
              <w:numPr>
                <w:ilvl w:val="1"/>
                <w:numId w:val="24"/>
              </w:numPr>
              <w:spacing w:after="120"/>
              <w:ind w:left="360"/>
              <w:rPr>
                <w:rFonts w:ascii="Arial" w:hAnsi="Arial" w:cs="Arial"/>
                <w:sz w:val="18"/>
                <w:szCs w:val="18"/>
              </w:rPr>
            </w:pPr>
            <w:r w:rsidRPr="00C24291">
              <w:rPr>
                <w:rFonts w:ascii="Arial" w:hAnsi="Arial" w:cs="Arial"/>
                <w:sz w:val="18"/>
                <w:szCs w:val="18"/>
              </w:rPr>
              <w:t xml:space="preserve">the conditions under which the claw-back may be used, the maximum size of such claw back and any applicable minimum percentages for individual tranches; </w:t>
            </w:r>
          </w:p>
          <w:p w14:paraId="56F5B046" w14:textId="6A63CFB7" w:rsidR="006114F3" w:rsidRPr="00C24291" w:rsidRDefault="006114F3" w:rsidP="0073662F">
            <w:pPr>
              <w:pStyle w:val="Default"/>
              <w:numPr>
                <w:ilvl w:val="1"/>
                <w:numId w:val="24"/>
              </w:numPr>
              <w:spacing w:after="120"/>
              <w:ind w:left="360"/>
              <w:rPr>
                <w:rFonts w:ascii="Arial" w:hAnsi="Arial" w:cs="Arial"/>
                <w:sz w:val="18"/>
                <w:szCs w:val="18"/>
              </w:rPr>
            </w:pPr>
            <w:r w:rsidRPr="00C24291">
              <w:rPr>
                <w:rFonts w:ascii="Arial" w:hAnsi="Arial" w:cs="Arial"/>
                <w:sz w:val="18"/>
                <w:szCs w:val="18"/>
              </w:rPr>
              <w:t xml:space="preserve">the allotment method or methods to be used for the retail and issuer’s employee tranche in the event of an over-subscription of these tranches; </w:t>
            </w:r>
          </w:p>
          <w:p w14:paraId="2A7856C8" w14:textId="12249712" w:rsidR="006114F3" w:rsidRPr="00C24291" w:rsidRDefault="006114F3" w:rsidP="0073662F">
            <w:pPr>
              <w:pStyle w:val="Default"/>
              <w:numPr>
                <w:ilvl w:val="1"/>
                <w:numId w:val="24"/>
              </w:numPr>
              <w:spacing w:after="120"/>
              <w:ind w:left="360"/>
              <w:rPr>
                <w:rFonts w:ascii="Arial" w:hAnsi="Arial" w:cs="Arial"/>
                <w:sz w:val="18"/>
                <w:szCs w:val="18"/>
              </w:rPr>
            </w:pPr>
            <w:r w:rsidRPr="00C24291">
              <w:rPr>
                <w:rFonts w:ascii="Arial" w:hAnsi="Arial" w:cs="Arial"/>
                <w:sz w:val="18"/>
                <w:szCs w:val="18"/>
              </w:rPr>
              <w:t xml:space="preserve">a description of any pre-determined preferential treatment to be accorded to certain classes of investors or certain affinity groups (including friends and family programmes) in the allotment, the percentage of the offer reserved for such preferential treatment and the criteria for inclusion in such classes or groups; </w:t>
            </w:r>
          </w:p>
          <w:p w14:paraId="65A5F8F7" w14:textId="20C43D1F" w:rsidR="006114F3" w:rsidRPr="00C24291" w:rsidRDefault="006114F3" w:rsidP="0073662F">
            <w:pPr>
              <w:pStyle w:val="Default"/>
              <w:numPr>
                <w:ilvl w:val="1"/>
                <w:numId w:val="24"/>
              </w:numPr>
              <w:spacing w:after="120"/>
              <w:ind w:left="360"/>
              <w:rPr>
                <w:rFonts w:ascii="Arial" w:hAnsi="Arial" w:cs="Arial"/>
                <w:sz w:val="18"/>
                <w:szCs w:val="18"/>
              </w:rPr>
            </w:pPr>
            <w:r w:rsidRPr="00C24291">
              <w:rPr>
                <w:rFonts w:ascii="Arial" w:hAnsi="Arial" w:cs="Arial"/>
                <w:sz w:val="18"/>
                <w:szCs w:val="18"/>
              </w:rPr>
              <w:t xml:space="preserve">whether the treatment of subscriptions or bids to subscribe in the allotment may be determined </w:t>
            </w:r>
            <w:proofErr w:type="gramStart"/>
            <w:r w:rsidRPr="00C24291">
              <w:rPr>
                <w:rFonts w:ascii="Arial" w:hAnsi="Arial" w:cs="Arial"/>
                <w:sz w:val="18"/>
                <w:szCs w:val="18"/>
              </w:rPr>
              <w:t>on the basis of</w:t>
            </w:r>
            <w:proofErr w:type="gramEnd"/>
            <w:r w:rsidRPr="00C24291">
              <w:rPr>
                <w:rFonts w:ascii="Arial" w:hAnsi="Arial" w:cs="Arial"/>
                <w:sz w:val="18"/>
                <w:szCs w:val="18"/>
              </w:rPr>
              <w:t xml:space="preserve"> which firm they are made through or by; </w:t>
            </w:r>
          </w:p>
          <w:p w14:paraId="2B4D126B" w14:textId="23698EDA" w:rsidR="006114F3" w:rsidRPr="00C24291" w:rsidRDefault="006114F3" w:rsidP="0073662F">
            <w:pPr>
              <w:pStyle w:val="Default"/>
              <w:numPr>
                <w:ilvl w:val="1"/>
                <w:numId w:val="24"/>
              </w:numPr>
              <w:spacing w:after="120"/>
              <w:ind w:left="360"/>
              <w:rPr>
                <w:rFonts w:ascii="Arial" w:hAnsi="Arial" w:cs="Arial"/>
                <w:sz w:val="18"/>
                <w:szCs w:val="18"/>
              </w:rPr>
            </w:pPr>
            <w:r w:rsidRPr="00C24291">
              <w:rPr>
                <w:rFonts w:ascii="Arial" w:hAnsi="Arial" w:cs="Arial"/>
                <w:sz w:val="18"/>
                <w:szCs w:val="18"/>
              </w:rPr>
              <w:lastRenderedPageBreak/>
              <w:t xml:space="preserve">a target minimum individual allotment if any within the retail tranche; </w:t>
            </w:r>
          </w:p>
          <w:p w14:paraId="3A4ABA24" w14:textId="77777777" w:rsidR="00C27786" w:rsidRPr="00C24291" w:rsidRDefault="006114F3" w:rsidP="0073662F">
            <w:pPr>
              <w:pStyle w:val="Default"/>
              <w:numPr>
                <w:ilvl w:val="1"/>
                <w:numId w:val="24"/>
              </w:numPr>
              <w:spacing w:after="120"/>
              <w:ind w:left="360"/>
              <w:rPr>
                <w:rFonts w:ascii="Arial" w:hAnsi="Arial" w:cs="Arial"/>
                <w:sz w:val="18"/>
                <w:szCs w:val="18"/>
              </w:rPr>
            </w:pPr>
            <w:r w:rsidRPr="00C24291">
              <w:rPr>
                <w:rFonts w:ascii="Arial" w:hAnsi="Arial" w:cs="Arial"/>
                <w:sz w:val="18"/>
                <w:szCs w:val="18"/>
              </w:rPr>
              <w:t xml:space="preserve">the conditions for the closing of the offer as well as the date on which the offer may be closed at the earliest; </w:t>
            </w:r>
          </w:p>
          <w:p w14:paraId="75E7196B" w14:textId="2A9CD122" w:rsidR="006114F3" w:rsidRPr="00C24291" w:rsidRDefault="006114F3" w:rsidP="0073662F">
            <w:pPr>
              <w:pStyle w:val="Default"/>
              <w:numPr>
                <w:ilvl w:val="1"/>
                <w:numId w:val="24"/>
              </w:numPr>
              <w:spacing w:after="120"/>
              <w:ind w:left="360"/>
              <w:rPr>
                <w:rFonts w:ascii="Arial" w:hAnsi="Arial" w:cs="Arial"/>
                <w:sz w:val="18"/>
                <w:szCs w:val="18"/>
              </w:rPr>
            </w:pPr>
            <w:proofErr w:type="gramStart"/>
            <w:r w:rsidRPr="00C24291">
              <w:rPr>
                <w:rFonts w:ascii="Arial" w:hAnsi="Arial" w:cs="Arial"/>
                <w:sz w:val="18"/>
                <w:szCs w:val="18"/>
              </w:rPr>
              <w:t>whether or not</w:t>
            </w:r>
            <w:proofErr w:type="gramEnd"/>
            <w:r w:rsidRPr="00C24291">
              <w:rPr>
                <w:rFonts w:ascii="Arial" w:hAnsi="Arial" w:cs="Arial"/>
                <w:sz w:val="18"/>
                <w:szCs w:val="18"/>
              </w:rPr>
              <w:t xml:space="preserve"> multiple subscriptions are admitted, and where they are not, how any multiple subscriptions will be handled. </w:t>
            </w:r>
          </w:p>
        </w:tc>
        <w:tc>
          <w:tcPr>
            <w:tcW w:w="992" w:type="dxa"/>
            <w:shd w:val="clear" w:color="auto" w:fill="auto"/>
          </w:tcPr>
          <w:p w14:paraId="3DC715E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9A03ED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396DA7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7D74732F" w14:textId="77777777" w:rsidTr="0073662F">
        <w:trPr>
          <w:trHeight w:val="383"/>
        </w:trPr>
        <w:tc>
          <w:tcPr>
            <w:tcW w:w="851" w:type="dxa"/>
            <w:shd w:val="clear" w:color="auto" w:fill="auto"/>
          </w:tcPr>
          <w:p w14:paraId="2260D403" w14:textId="721E97F4"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5.3 </w:t>
            </w:r>
          </w:p>
        </w:tc>
        <w:tc>
          <w:tcPr>
            <w:tcW w:w="5812" w:type="dxa"/>
            <w:shd w:val="clear" w:color="auto" w:fill="auto"/>
          </w:tcPr>
          <w:p w14:paraId="77B232F4" w14:textId="0FE8A977"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Process for notifying applicants of the amount allotted and an indication whether dealing may begin before notification is made. </w:t>
            </w:r>
          </w:p>
        </w:tc>
        <w:tc>
          <w:tcPr>
            <w:tcW w:w="992" w:type="dxa"/>
            <w:shd w:val="clear" w:color="auto" w:fill="auto"/>
          </w:tcPr>
          <w:p w14:paraId="0A59BFD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02259A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0D52EE2"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593B7FB1" w14:textId="77777777" w:rsidTr="0073662F">
        <w:trPr>
          <w:trHeight w:val="383"/>
        </w:trPr>
        <w:tc>
          <w:tcPr>
            <w:tcW w:w="851" w:type="dxa"/>
            <w:shd w:val="clear" w:color="auto" w:fill="auto"/>
          </w:tcPr>
          <w:p w14:paraId="08541B44" w14:textId="1AB859B7"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5.4 </w:t>
            </w:r>
          </w:p>
        </w:tc>
        <w:tc>
          <w:tcPr>
            <w:tcW w:w="5812" w:type="dxa"/>
            <w:shd w:val="clear" w:color="auto" w:fill="auto"/>
          </w:tcPr>
          <w:p w14:paraId="1DA6C384" w14:textId="586518F7"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Pricing </w:t>
            </w:r>
          </w:p>
        </w:tc>
        <w:tc>
          <w:tcPr>
            <w:tcW w:w="992" w:type="dxa"/>
            <w:shd w:val="clear" w:color="auto" w:fill="auto"/>
          </w:tcPr>
          <w:p w14:paraId="21A7613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D485E2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C50F7B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420B7C6" w14:textId="77777777" w:rsidTr="0073662F">
        <w:trPr>
          <w:trHeight w:val="383"/>
        </w:trPr>
        <w:tc>
          <w:tcPr>
            <w:tcW w:w="851" w:type="dxa"/>
            <w:shd w:val="clear" w:color="auto" w:fill="auto"/>
          </w:tcPr>
          <w:p w14:paraId="78DC8B7D" w14:textId="2D566E84"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5.4.1 </w:t>
            </w:r>
          </w:p>
        </w:tc>
        <w:tc>
          <w:tcPr>
            <w:tcW w:w="5812" w:type="dxa"/>
            <w:shd w:val="clear" w:color="auto" w:fill="auto"/>
          </w:tcPr>
          <w:p w14:paraId="3FE02EC6" w14:textId="57F47361"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An indication of the price at which the securities will be offered and the amount of any expenses and taxes charged to the subscriber or purchaser. </w:t>
            </w:r>
          </w:p>
        </w:tc>
        <w:tc>
          <w:tcPr>
            <w:tcW w:w="992" w:type="dxa"/>
            <w:shd w:val="clear" w:color="auto" w:fill="auto"/>
          </w:tcPr>
          <w:p w14:paraId="166F3F3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4D9004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3ECF285"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6C962FFC" w14:textId="77777777" w:rsidTr="0073662F">
        <w:trPr>
          <w:trHeight w:val="383"/>
        </w:trPr>
        <w:tc>
          <w:tcPr>
            <w:tcW w:w="851" w:type="dxa"/>
            <w:shd w:val="clear" w:color="auto" w:fill="auto"/>
          </w:tcPr>
          <w:p w14:paraId="3BB0597B" w14:textId="67DA77CC"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5.4.2 </w:t>
            </w:r>
          </w:p>
        </w:tc>
        <w:tc>
          <w:tcPr>
            <w:tcW w:w="5812" w:type="dxa"/>
            <w:shd w:val="clear" w:color="auto" w:fill="auto"/>
          </w:tcPr>
          <w:p w14:paraId="5A4D8A24"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If the price is not known, then pursuant to Article 17 of Regulation (EU) 2017/1129 indicate either: </w:t>
            </w:r>
          </w:p>
          <w:p w14:paraId="6BB97B24" w14:textId="62313B7D" w:rsidR="006114F3" w:rsidRPr="00C24291" w:rsidRDefault="006114F3" w:rsidP="0073662F">
            <w:pPr>
              <w:pStyle w:val="Default"/>
              <w:numPr>
                <w:ilvl w:val="0"/>
                <w:numId w:val="28"/>
              </w:numPr>
              <w:spacing w:after="120"/>
              <w:rPr>
                <w:rFonts w:ascii="Arial" w:hAnsi="Arial" w:cs="Arial"/>
                <w:sz w:val="18"/>
                <w:szCs w:val="18"/>
              </w:rPr>
            </w:pPr>
            <w:r w:rsidRPr="00C24291">
              <w:rPr>
                <w:rFonts w:ascii="Arial" w:hAnsi="Arial" w:cs="Arial"/>
                <w:sz w:val="18"/>
                <w:szCs w:val="18"/>
              </w:rPr>
              <w:t xml:space="preserve">the maximum price as far as it is available; </w:t>
            </w:r>
          </w:p>
          <w:p w14:paraId="7188EA1D" w14:textId="3F6849A6" w:rsidR="006114F3" w:rsidRPr="00C24291" w:rsidRDefault="006114F3" w:rsidP="0073662F">
            <w:pPr>
              <w:pStyle w:val="Default"/>
              <w:numPr>
                <w:ilvl w:val="0"/>
                <w:numId w:val="28"/>
              </w:numPr>
              <w:spacing w:after="120"/>
              <w:rPr>
                <w:rFonts w:ascii="Arial" w:hAnsi="Arial" w:cs="Arial"/>
                <w:sz w:val="18"/>
                <w:szCs w:val="18"/>
              </w:rPr>
            </w:pPr>
            <w:r w:rsidRPr="00C24291">
              <w:rPr>
                <w:rFonts w:ascii="Arial" w:hAnsi="Arial" w:cs="Arial"/>
                <w:sz w:val="18"/>
                <w:szCs w:val="18"/>
              </w:rPr>
              <w:t xml:space="preserve">the valuation methods and criteria, and/or conditions, in accordance with which the final offer price has been or will be determined and an explanation of any valuation methods used. </w:t>
            </w:r>
          </w:p>
          <w:p w14:paraId="77658970" w14:textId="2C8A5F29"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Where neither point (a) nor (b) can be provided in the securities note, the securities note shall specify that acceptances of the purchase or subscription of securities may be withdrawn up to two working days after the final offer price of securities to be offered to the public has been filed. </w:t>
            </w:r>
          </w:p>
        </w:tc>
        <w:tc>
          <w:tcPr>
            <w:tcW w:w="992" w:type="dxa"/>
            <w:shd w:val="clear" w:color="auto" w:fill="auto"/>
          </w:tcPr>
          <w:p w14:paraId="0D56920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D2C4E89"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7CDC89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70EE34FE" w14:textId="77777777" w:rsidTr="0073662F">
        <w:trPr>
          <w:trHeight w:val="383"/>
        </w:trPr>
        <w:tc>
          <w:tcPr>
            <w:tcW w:w="851" w:type="dxa"/>
            <w:shd w:val="clear" w:color="auto" w:fill="auto"/>
          </w:tcPr>
          <w:p w14:paraId="1AE707A7" w14:textId="4332AFA4"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5.4.3 </w:t>
            </w:r>
          </w:p>
        </w:tc>
        <w:tc>
          <w:tcPr>
            <w:tcW w:w="5812" w:type="dxa"/>
            <w:shd w:val="clear" w:color="auto" w:fill="auto"/>
          </w:tcPr>
          <w:p w14:paraId="41B67B8F"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Process for the disclosure of the offer price. </w:t>
            </w:r>
          </w:p>
          <w:p w14:paraId="10AEF90A"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If the issuer’s equity holders have pre-emptive purchase rights and this right is restricted or withdrawn, an indication of the basis for the issue price if the issue is for cash, together with the reasons for and beneficiaries of such restriction or withdrawal. </w:t>
            </w:r>
          </w:p>
          <w:p w14:paraId="2C1D619E" w14:textId="2394B12D"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Where there is or could be a material disparity between the public offer price and the effective cash cost to members of the administrative, management or supervisory bodies or senior management, or affiliated persons, of securities acquired by them in transactions during the past year, or which they have the right to acquire, include a comparison of the public contribution in the proposed public offer and the effective cash contributions of such persons. </w:t>
            </w:r>
          </w:p>
        </w:tc>
        <w:tc>
          <w:tcPr>
            <w:tcW w:w="992" w:type="dxa"/>
            <w:shd w:val="clear" w:color="auto" w:fill="auto"/>
          </w:tcPr>
          <w:p w14:paraId="7E36BCF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4FC566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F8A8A7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AD42E6E" w14:textId="77777777" w:rsidTr="0073662F">
        <w:trPr>
          <w:trHeight w:val="383"/>
        </w:trPr>
        <w:tc>
          <w:tcPr>
            <w:tcW w:w="851" w:type="dxa"/>
            <w:shd w:val="clear" w:color="auto" w:fill="auto"/>
          </w:tcPr>
          <w:p w14:paraId="7C82380E" w14:textId="0A88FAF3"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5.5 </w:t>
            </w:r>
          </w:p>
        </w:tc>
        <w:tc>
          <w:tcPr>
            <w:tcW w:w="5812" w:type="dxa"/>
            <w:shd w:val="clear" w:color="auto" w:fill="auto"/>
          </w:tcPr>
          <w:p w14:paraId="2AAD5AF6" w14:textId="3BE287AC"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Placing and Underwriting </w:t>
            </w:r>
          </w:p>
        </w:tc>
        <w:tc>
          <w:tcPr>
            <w:tcW w:w="992" w:type="dxa"/>
            <w:shd w:val="clear" w:color="auto" w:fill="auto"/>
          </w:tcPr>
          <w:p w14:paraId="57875C2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EE7BE6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B814F8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2F61C0A7" w14:textId="77777777" w:rsidTr="0073662F">
        <w:trPr>
          <w:trHeight w:val="383"/>
        </w:trPr>
        <w:tc>
          <w:tcPr>
            <w:tcW w:w="851" w:type="dxa"/>
            <w:shd w:val="clear" w:color="auto" w:fill="auto"/>
          </w:tcPr>
          <w:p w14:paraId="2FEB43FA" w14:textId="441003FC"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5.5.1 </w:t>
            </w:r>
          </w:p>
        </w:tc>
        <w:tc>
          <w:tcPr>
            <w:tcW w:w="5812" w:type="dxa"/>
            <w:shd w:val="clear" w:color="auto" w:fill="auto"/>
          </w:tcPr>
          <w:p w14:paraId="6F9B98AC" w14:textId="30FDAE97"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Name and address of the co-ordinator(s) of the global offer and of single parts of the offer and, to the extent known to the issuer or to the offeror, of the placers in the various countries where the offer takes place. </w:t>
            </w:r>
          </w:p>
        </w:tc>
        <w:tc>
          <w:tcPr>
            <w:tcW w:w="992" w:type="dxa"/>
            <w:shd w:val="clear" w:color="auto" w:fill="auto"/>
          </w:tcPr>
          <w:p w14:paraId="3F3CE9E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EE73B9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7E5A11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756D45FB" w14:textId="77777777" w:rsidTr="0073662F">
        <w:trPr>
          <w:trHeight w:val="383"/>
        </w:trPr>
        <w:tc>
          <w:tcPr>
            <w:tcW w:w="851" w:type="dxa"/>
            <w:shd w:val="clear" w:color="auto" w:fill="auto"/>
          </w:tcPr>
          <w:p w14:paraId="2E2ACF41" w14:textId="3575ADDE"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5.5.2 </w:t>
            </w:r>
          </w:p>
        </w:tc>
        <w:tc>
          <w:tcPr>
            <w:tcW w:w="5812" w:type="dxa"/>
            <w:shd w:val="clear" w:color="auto" w:fill="auto"/>
          </w:tcPr>
          <w:p w14:paraId="3B5DACB5" w14:textId="4CE478AE"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Name and address of any paying agents and depository agents in each country. </w:t>
            </w:r>
          </w:p>
        </w:tc>
        <w:tc>
          <w:tcPr>
            <w:tcW w:w="992" w:type="dxa"/>
            <w:shd w:val="clear" w:color="auto" w:fill="auto"/>
          </w:tcPr>
          <w:p w14:paraId="13B7692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E49EF5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5706F5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078AE142" w14:textId="77777777" w:rsidTr="0073662F">
        <w:trPr>
          <w:trHeight w:val="383"/>
        </w:trPr>
        <w:tc>
          <w:tcPr>
            <w:tcW w:w="851" w:type="dxa"/>
            <w:shd w:val="clear" w:color="auto" w:fill="auto"/>
          </w:tcPr>
          <w:p w14:paraId="7633147B" w14:textId="7E9BF6E2"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5.5.3 </w:t>
            </w:r>
          </w:p>
        </w:tc>
        <w:tc>
          <w:tcPr>
            <w:tcW w:w="5812" w:type="dxa"/>
            <w:shd w:val="clear" w:color="auto" w:fill="auto"/>
          </w:tcPr>
          <w:p w14:paraId="20A5AA1F" w14:textId="43F19C77"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Name and address of the entities agreeing to underwrite the issue on a firm commitment basis, and name and address of the entities agreeing to place the issue without a firm commitment or under “best efforts” arrangements. Indication of the material features of the agreements, including the quotas. Where not </w:t>
            </w:r>
            <w:proofErr w:type="gramStart"/>
            <w:r w:rsidRPr="00C24291">
              <w:rPr>
                <w:rFonts w:ascii="Arial" w:hAnsi="Arial" w:cs="Arial"/>
                <w:sz w:val="18"/>
                <w:szCs w:val="18"/>
              </w:rPr>
              <w:t>all of</w:t>
            </w:r>
            <w:proofErr w:type="gramEnd"/>
            <w:r w:rsidRPr="00C24291">
              <w:rPr>
                <w:rFonts w:ascii="Arial" w:hAnsi="Arial" w:cs="Arial"/>
                <w:sz w:val="18"/>
                <w:szCs w:val="18"/>
              </w:rPr>
              <w:t xml:space="preserve"> the issue is underwritten, a statement of the portion not covered. Indication of the overall amount of the underwriting commission and of the placing commission. </w:t>
            </w:r>
          </w:p>
        </w:tc>
        <w:tc>
          <w:tcPr>
            <w:tcW w:w="992" w:type="dxa"/>
            <w:shd w:val="clear" w:color="auto" w:fill="auto"/>
          </w:tcPr>
          <w:p w14:paraId="0E7C2F6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D33F2A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CF03E1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558EE68" w14:textId="77777777" w:rsidTr="0073662F">
        <w:trPr>
          <w:trHeight w:val="383"/>
        </w:trPr>
        <w:tc>
          <w:tcPr>
            <w:tcW w:w="851" w:type="dxa"/>
            <w:shd w:val="clear" w:color="auto" w:fill="auto"/>
          </w:tcPr>
          <w:p w14:paraId="65CB44A0" w14:textId="405B491E"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5.5.4 </w:t>
            </w:r>
          </w:p>
        </w:tc>
        <w:tc>
          <w:tcPr>
            <w:tcW w:w="5812" w:type="dxa"/>
            <w:shd w:val="clear" w:color="auto" w:fill="auto"/>
          </w:tcPr>
          <w:p w14:paraId="42149D18" w14:textId="20D4F5C1"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When the underwriting agreement has been or will be reached. </w:t>
            </w:r>
          </w:p>
        </w:tc>
        <w:tc>
          <w:tcPr>
            <w:tcW w:w="992" w:type="dxa"/>
            <w:shd w:val="clear" w:color="auto" w:fill="auto"/>
          </w:tcPr>
          <w:p w14:paraId="2BDB7BE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E2E4DF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172349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B4F326C" w14:textId="77777777" w:rsidTr="0073662F">
        <w:trPr>
          <w:trHeight w:val="383"/>
        </w:trPr>
        <w:tc>
          <w:tcPr>
            <w:tcW w:w="851" w:type="dxa"/>
            <w:shd w:val="clear" w:color="auto" w:fill="auto"/>
          </w:tcPr>
          <w:p w14:paraId="07461056" w14:textId="0910D80C"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 </w:t>
            </w:r>
          </w:p>
        </w:tc>
        <w:tc>
          <w:tcPr>
            <w:tcW w:w="5812" w:type="dxa"/>
            <w:shd w:val="clear" w:color="auto" w:fill="auto"/>
          </w:tcPr>
          <w:p w14:paraId="25ED5D47" w14:textId="740DFA36"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Admission to trading and dealing arrangements </w:t>
            </w:r>
          </w:p>
        </w:tc>
        <w:tc>
          <w:tcPr>
            <w:tcW w:w="992" w:type="dxa"/>
            <w:shd w:val="clear" w:color="auto" w:fill="auto"/>
          </w:tcPr>
          <w:p w14:paraId="1E2042D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6AFED1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62883A5"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2AC289F5" w14:textId="77777777" w:rsidTr="0073662F">
        <w:trPr>
          <w:trHeight w:val="383"/>
        </w:trPr>
        <w:tc>
          <w:tcPr>
            <w:tcW w:w="851" w:type="dxa"/>
            <w:shd w:val="clear" w:color="auto" w:fill="auto"/>
          </w:tcPr>
          <w:p w14:paraId="094403FB" w14:textId="663CF729"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lastRenderedPageBreak/>
              <w:t xml:space="preserve">5.6.1 </w:t>
            </w:r>
          </w:p>
        </w:tc>
        <w:tc>
          <w:tcPr>
            <w:tcW w:w="5812" w:type="dxa"/>
            <w:shd w:val="clear" w:color="auto" w:fill="auto"/>
          </w:tcPr>
          <w:p w14:paraId="1159785F" w14:textId="089A3CC0"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An indication as to whether the securities offered are or will be the object of an application for admission to trading on an SME growth Market or an MTF, with a view to their distribution in an SME Growth Market or an MTF with an indication of the markets in question. This circumstance must be set out, without creating the impression that the admission to trading will necessarily be approved. If known, the earliest dates on which the securities will be admitted to trading. </w:t>
            </w:r>
          </w:p>
        </w:tc>
        <w:tc>
          <w:tcPr>
            <w:tcW w:w="992" w:type="dxa"/>
            <w:shd w:val="clear" w:color="auto" w:fill="auto"/>
          </w:tcPr>
          <w:p w14:paraId="306B933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9FBF32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1AD271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00F1C265" w14:textId="77777777" w:rsidTr="0073662F">
        <w:trPr>
          <w:trHeight w:val="383"/>
        </w:trPr>
        <w:tc>
          <w:tcPr>
            <w:tcW w:w="851" w:type="dxa"/>
            <w:shd w:val="clear" w:color="auto" w:fill="auto"/>
          </w:tcPr>
          <w:p w14:paraId="7BF765C4" w14:textId="4BE2BF94"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5.6.2 </w:t>
            </w:r>
          </w:p>
        </w:tc>
        <w:tc>
          <w:tcPr>
            <w:tcW w:w="5812" w:type="dxa"/>
            <w:shd w:val="clear" w:color="auto" w:fill="auto"/>
          </w:tcPr>
          <w:p w14:paraId="5D07FC9F" w14:textId="10C0424E"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All the SME growth markets or MTFs on which, to the knowledge of the issuer, securities of the same class of the securities to be offered tor admitted to trading are already admitted to trading. </w:t>
            </w:r>
          </w:p>
        </w:tc>
        <w:tc>
          <w:tcPr>
            <w:tcW w:w="992" w:type="dxa"/>
            <w:shd w:val="clear" w:color="auto" w:fill="auto"/>
          </w:tcPr>
          <w:p w14:paraId="167359A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243E34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17281F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78D9B364" w14:textId="77777777" w:rsidTr="0073662F">
        <w:trPr>
          <w:trHeight w:val="383"/>
        </w:trPr>
        <w:tc>
          <w:tcPr>
            <w:tcW w:w="851" w:type="dxa"/>
            <w:shd w:val="clear" w:color="auto" w:fill="auto"/>
          </w:tcPr>
          <w:p w14:paraId="3AA24B0F" w14:textId="54DC68E1"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5.6.3 </w:t>
            </w:r>
          </w:p>
        </w:tc>
        <w:tc>
          <w:tcPr>
            <w:tcW w:w="5812" w:type="dxa"/>
            <w:shd w:val="clear" w:color="auto" w:fill="auto"/>
          </w:tcPr>
          <w:p w14:paraId="7F264A33" w14:textId="6A02A83A"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If simultaneously or almost simultaneously with the creation of the securities for which admission on an SME growth Market or MTF is being sought or which are offered to the public, securities of the same class are subscribed for or placed privately or if securities of other classes are created for public or private placing, give details of the nature of such operations and of the number and characteristics of the securities to which they relate. </w:t>
            </w:r>
          </w:p>
        </w:tc>
        <w:tc>
          <w:tcPr>
            <w:tcW w:w="992" w:type="dxa"/>
            <w:shd w:val="clear" w:color="auto" w:fill="auto"/>
          </w:tcPr>
          <w:p w14:paraId="7AF978D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F9EBDA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7DF9EB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69F1AA1E" w14:textId="77777777" w:rsidTr="0073662F">
        <w:trPr>
          <w:trHeight w:val="383"/>
        </w:trPr>
        <w:tc>
          <w:tcPr>
            <w:tcW w:w="851" w:type="dxa"/>
            <w:shd w:val="clear" w:color="auto" w:fill="auto"/>
          </w:tcPr>
          <w:p w14:paraId="5BCC6738" w14:textId="26B070F5"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5.6.4 </w:t>
            </w:r>
          </w:p>
        </w:tc>
        <w:tc>
          <w:tcPr>
            <w:tcW w:w="5812" w:type="dxa"/>
            <w:shd w:val="clear" w:color="auto" w:fill="auto"/>
          </w:tcPr>
          <w:p w14:paraId="4BA0BCBD" w14:textId="34BE3FB5"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In case of an admission to trading on an SME growth market or an MTF, details of the entities which have a firm commitment to act as intermediaries in secondary trading, providing liquidity through bid and offer rates and description of the main terms of their commitment. </w:t>
            </w:r>
          </w:p>
        </w:tc>
        <w:tc>
          <w:tcPr>
            <w:tcW w:w="992" w:type="dxa"/>
            <w:shd w:val="clear" w:color="auto" w:fill="auto"/>
          </w:tcPr>
          <w:p w14:paraId="70757FF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6BC0B3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708069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F3AAB15" w14:textId="77777777" w:rsidTr="0073662F">
        <w:trPr>
          <w:trHeight w:val="383"/>
        </w:trPr>
        <w:tc>
          <w:tcPr>
            <w:tcW w:w="851" w:type="dxa"/>
            <w:shd w:val="clear" w:color="auto" w:fill="auto"/>
          </w:tcPr>
          <w:p w14:paraId="058939CC" w14:textId="59EA2C16"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5.6.5 </w:t>
            </w:r>
          </w:p>
        </w:tc>
        <w:tc>
          <w:tcPr>
            <w:tcW w:w="5812" w:type="dxa"/>
            <w:shd w:val="clear" w:color="auto" w:fill="auto"/>
          </w:tcPr>
          <w:p w14:paraId="7C7AFEA1" w14:textId="42B047DD"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Details of stabilisation in line with items 5.6.5.1 to 5.6.5.6 in the case of an admission to trading on an SME growth market or an MTF, where an issuer or a selling shareholder has granted an over-allotment option or it is otherwise proposed that price stabilising activities may be entered into </w:t>
            </w:r>
            <w:proofErr w:type="gramStart"/>
            <w:r w:rsidRPr="00C24291">
              <w:rPr>
                <w:rFonts w:ascii="Arial" w:hAnsi="Arial" w:cs="Arial"/>
                <w:sz w:val="18"/>
                <w:szCs w:val="18"/>
              </w:rPr>
              <w:t>in connection with</w:t>
            </w:r>
            <w:proofErr w:type="gramEnd"/>
            <w:r w:rsidRPr="00C24291">
              <w:rPr>
                <w:rFonts w:ascii="Arial" w:hAnsi="Arial" w:cs="Arial"/>
                <w:sz w:val="18"/>
                <w:szCs w:val="18"/>
              </w:rPr>
              <w:t xml:space="preserve"> an offer: </w:t>
            </w:r>
          </w:p>
        </w:tc>
        <w:tc>
          <w:tcPr>
            <w:tcW w:w="992" w:type="dxa"/>
            <w:shd w:val="clear" w:color="auto" w:fill="auto"/>
          </w:tcPr>
          <w:p w14:paraId="1587572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42860B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C143B7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12C2437" w14:textId="77777777" w:rsidTr="0073662F">
        <w:trPr>
          <w:trHeight w:val="383"/>
        </w:trPr>
        <w:tc>
          <w:tcPr>
            <w:tcW w:w="851" w:type="dxa"/>
            <w:shd w:val="clear" w:color="auto" w:fill="auto"/>
          </w:tcPr>
          <w:p w14:paraId="1BC32E41" w14:textId="07AA33F8"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5.6.5.1 </w:t>
            </w:r>
          </w:p>
        </w:tc>
        <w:tc>
          <w:tcPr>
            <w:tcW w:w="5812" w:type="dxa"/>
            <w:shd w:val="clear" w:color="auto" w:fill="auto"/>
          </w:tcPr>
          <w:p w14:paraId="29D23660" w14:textId="48FCCD87"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The fact that stabilisation may be undertaken, that there is no assurance that it will be undertaken and that it may be stopped at any time; </w:t>
            </w:r>
          </w:p>
        </w:tc>
        <w:tc>
          <w:tcPr>
            <w:tcW w:w="992" w:type="dxa"/>
            <w:shd w:val="clear" w:color="auto" w:fill="auto"/>
          </w:tcPr>
          <w:p w14:paraId="007CD4A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FF69AA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296E06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1B0C1E1D" w14:textId="77777777" w:rsidTr="0073662F">
        <w:trPr>
          <w:trHeight w:val="383"/>
        </w:trPr>
        <w:tc>
          <w:tcPr>
            <w:tcW w:w="851" w:type="dxa"/>
            <w:shd w:val="clear" w:color="auto" w:fill="auto"/>
          </w:tcPr>
          <w:p w14:paraId="2A42C22F" w14:textId="27985AC1"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5.6.5.2 </w:t>
            </w:r>
          </w:p>
        </w:tc>
        <w:tc>
          <w:tcPr>
            <w:tcW w:w="5812" w:type="dxa"/>
            <w:shd w:val="clear" w:color="auto" w:fill="auto"/>
          </w:tcPr>
          <w:p w14:paraId="5E2058B1" w14:textId="41E48116"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The fact that stabilisation transactions aim at supporting the market price of the securities during the stabilisation period; </w:t>
            </w:r>
          </w:p>
        </w:tc>
        <w:tc>
          <w:tcPr>
            <w:tcW w:w="992" w:type="dxa"/>
            <w:shd w:val="clear" w:color="auto" w:fill="auto"/>
          </w:tcPr>
          <w:p w14:paraId="19F7736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5137FA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815E55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B2C00F0" w14:textId="77777777" w:rsidTr="0073662F">
        <w:trPr>
          <w:trHeight w:val="383"/>
        </w:trPr>
        <w:tc>
          <w:tcPr>
            <w:tcW w:w="851" w:type="dxa"/>
            <w:shd w:val="clear" w:color="auto" w:fill="auto"/>
          </w:tcPr>
          <w:p w14:paraId="0228C3DF" w14:textId="1ADE77A8"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5.6.5.3 </w:t>
            </w:r>
          </w:p>
        </w:tc>
        <w:tc>
          <w:tcPr>
            <w:tcW w:w="5812" w:type="dxa"/>
            <w:shd w:val="clear" w:color="auto" w:fill="auto"/>
          </w:tcPr>
          <w:p w14:paraId="70EEF0C4" w14:textId="63D347F8"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The beginning and the end of the period during which stabilisation may occur; </w:t>
            </w:r>
          </w:p>
        </w:tc>
        <w:tc>
          <w:tcPr>
            <w:tcW w:w="992" w:type="dxa"/>
            <w:shd w:val="clear" w:color="auto" w:fill="auto"/>
          </w:tcPr>
          <w:p w14:paraId="1997763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29F9CE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0536A9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040A549D" w14:textId="77777777" w:rsidTr="0073662F">
        <w:trPr>
          <w:trHeight w:val="383"/>
        </w:trPr>
        <w:tc>
          <w:tcPr>
            <w:tcW w:w="851" w:type="dxa"/>
            <w:shd w:val="clear" w:color="auto" w:fill="auto"/>
          </w:tcPr>
          <w:p w14:paraId="5281C6E9" w14:textId="63A11DD4"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5.6.5.4 </w:t>
            </w:r>
          </w:p>
        </w:tc>
        <w:tc>
          <w:tcPr>
            <w:tcW w:w="5812" w:type="dxa"/>
            <w:shd w:val="clear" w:color="auto" w:fill="auto"/>
          </w:tcPr>
          <w:p w14:paraId="57B8C61D" w14:textId="432BDE2C"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The identity of the stabilisation manager for each relevant jurisdiction unless this is not known at the time of publication; </w:t>
            </w:r>
          </w:p>
        </w:tc>
        <w:tc>
          <w:tcPr>
            <w:tcW w:w="992" w:type="dxa"/>
            <w:shd w:val="clear" w:color="auto" w:fill="auto"/>
          </w:tcPr>
          <w:p w14:paraId="66952ED5"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4329B9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487AD2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69B215A2" w14:textId="77777777" w:rsidTr="0073662F">
        <w:trPr>
          <w:trHeight w:val="383"/>
        </w:trPr>
        <w:tc>
          <w:tcPr>
            <w:tcW w:w="851" w:type="dxa"/>
            <w:shd w:val="clear" w:color="auto" w:fill="auto"/>
          </w:tcPr>
          <w:p w14:paraId="08F00F1D" w14:textId="370237E4"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5.6.5.5 </w:t>
            </w:r>
          </w:p>
        </w:tc>
        <w:tc>
          <w:tcPr>
            <w:tcW w:w="5812" w:type="dxa"/>
            <w:shd w:val="clear" w:color="auto" w:fill="auto"/>
          </w:tcPr>
          <w:p w14:paraId="7C8088E6" w14:textId="13B649B8"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The fact that stabilisation transactions may result in a market price that is higher than would otherwise prevail; and </w:t>
            </w:r>
          </w:p>
        </w:tc>
        <w:tc>
          <w:tcPr>
            <w:tcW w:w="992" w:type="dxa"/>
            <w:shd w:val="clear" w:color="auto" w:fill="auto"/>
          </w:tcPr>
          <w:p w14:paraId="6A10D6B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30916F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EC2292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108CA059" w14:textId="77777777" w:rsidTr="0073662F">
        <w:trPr>
          <w:trHeight w:val="383"/>
        </w:trPr>
        <w:tc>
          <w:tcPr>
            <w:tcW w:w="851" w:type="dxa"/>
            <w:shd w:val="clear" w:color="auto" w:fill="auto"/>
          </w:tcPr>
          <w:p w14:paraId="29B2F5B6" w14:textId="6B26F28D"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5.6.5.6 </w:t>
            </w:r>
          </w:p>
        </w:tc>
        <w:tc>
          <w:tcPr>
            <w:tcW w:w="5812" w:type="dxa"/>
            <w:shd w:val="clear" w:color="auto" w:fill="auto"/>
          </w:tcPr>
          <w:p w14:paraId="518912DE" w14:textId="7978EB11"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The place where the stabilisation may be undertaken including, where relevant, the name of the trading venue(s). </w:t>
            </w:r>
          </w:p>
        </w:tc>
        <w:tc>
          <w:tcPr>
            <w:tcW w:w="992" w:type="dxa"/>
            <w:shd w:val="clear" w:color="auto" w:fill="auto"/>
          </w:tcPr>
          <w:p w14:paraId="12A5C0FE"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BE98AC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97E624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7A2F7A70" w14:textId="77777777" w:rsidTr="0073662F">
        <w:trPr>
          <w:trHeight w:val="383"/>
        </w:trPr>
        <w:tc>
          <w:tcPr>
            <w:tcW w:w="851" w:type="dxa"/>
            <w:shd w:val="clear" w:color="auto" w:fill="auto"/>
          </w:tcPr>
          <w:p w14:paraId="65D05CB9" w14:textId="50340B6D"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5.6.6 </w:t>
            </w:r>
          </w:p>
        </w:tc>
        <w:tc>
          <w:tcPr>
            <w:tcW w:w="5812" w:type="dxa"/>
            <w:shd w:val="clear" w:color="auto" w:fill="auto"/>
          </w:tcPr>
          <w:p w14:paraId="3A268C55"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Over-allotment and ‘green shoe’ </w:t>
            </w:r>
          </w:p>
          <w:p w14:paraId="73E2678D"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In the case of an admission to trading on an SME growth market or an MTF: </w:t>
            </w:r>
          </w:p>
          <w:p w14:paraId="4FAB81C9" w14:textId="4D1C59AF" w:rsidR="006114F3" w:rsidRPr="00C24291" w:rsidRDefault="006114F3" w:rsidP="0073662F">
            <w:pPr>
              <w:pStyle w:val="Default"/>
              <w:numPr>
                <w:ilvl w:val="0"/>
                <w:numId w:val="30"/>
              </w:numPr>
              <w:spacing w:after="120"/>
              <w:rPr>
                <w:rFonts w:ascii="Arial" w:hAnsi="Arial" w:cs="Arial"/>
                <w:sz w:val="18"/>
                <w:szCs w:val="18"/>
              </w:rPr>
            </w:pPr>
            <w:r w:rsidRPr="00C24291">
              <w:rPr>
                <w:rFonts w:ascii="Arial" w:hAnsi="Arial" w:cs="Arial"/>
                <w:sz w:val="18"/>
                <w:szCs w:val="18"/>
              </w:rPr>
              <w:t xml:space="preserve">the existence and size of any over-allotment facility and/or ‘green shoe’; </w:t>
            </w:r>
          </w:p>
          <w:p w14:paraId="019ED5B6" w14:textId="3824D149" w:rsidR="006114F3" w:rsidRPr="00C24291" w:rsidRDefault="006114F3" w:rsidP="0073662F">
            <w:pPr>
              <w:pStyle w:val="Default"/>
              <w:numPr>
                <w:ilvl w:val="0"/>
                <w:numId w:val="30"/>
              </w:numPr>
              <w:spacing w:after="120"/>
              <w:rPr>
                <w:rFonts w:ascii="Arial" w:hAnsi="Arial" w:cs="Arial"/>
                <w:sz w:val="18"/>
                <w:szCs w:val="18"/>
              </w:rPr>
            </w:pPr>
            <w:r w:rsidRPr="00C24291">
              <w:rPr>
                <w:rFonts w:ascii="Arial" w:hAnsi="Arial" w:cs="Arial"/>
                <w:sz w:val="18"/>
                <w:szCs w:val="18"/>
              </w:rPr>
              <w:t xml:space="preserve">the existence period of the over-allotment facility and/or ‘green shoe’; and </w:t>
            </w:r>
          </w:p>
          <w:p w14:paraId="05822065" w14:textId="25FCB3A0" w:rsidR="006114F3" w:rsidRPr="00C24291" w:rsidRDefault="006114F3" w:rsidP="0073662F">
            <w:pPr>
              <w:pStyle w:val="Default"/>
              <w:numPr>
                <w:ilvl w:val="0"/>
                <w:numId w:val="30"/>
              </w:numPr>
              <w:spacing w:after="120"/>
              <w:rPr>
                <w:rFonts w:ascii="Arial" w:hAnsi="Arial" w:cs="Arial"/>
                <w:sz w:val="18"/>
                <w:szCs w:val="18"/>
              </w:rPr>
            </w:pPr>
            <w:r w:rsidRPr="00C24291">
              <w:rPr>
                <w:rFonts w:ascii="Arial" w:hAnsi="Arial" w:cs="Arial"/>
                <w:sz w:val="18"/>
                <w:szCs w:val="18"/>
              </w:rPr>
              <w:t xml:space="preserve">any conditions for the use of the over-allotment facility or exercise of the ‘green shoe’. </w:t>
            </w:r>
          </w:p>
        </w:tc>
        <w:tc>
          <w:tcPr>
            <w:tcW w:w="992" w:type="dxa"/>
            <w:shd w:val="clear" w:color="auto" w:fill="auto"/>
          </w:tcPr>
          <w:p w14:paraId="6C21677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88BBAA4"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384013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18B53278" w14:textId="77777777" w:rsidTr="0073662F">
        <w:trPr>
          <w:trHeight w:val="383"/>
        </w:trPr>
        <w:tc>
          <w:tcPr>
            <w:tcW w:w="851" w:type="dxa"/>
            <w:shd w:val="clear" w:color="auto" w:fill="auto"/>
          </w:tcPr>
          <w:p w14:paraId="2C67A393" w14:textId="77A72657"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5.7 </w:t>
            </w:r>
          </w:p>
        </w:tc>
        <w:tc>
          <w:tcPr>
            <w:tcW w:w="5812" w:type="dxa"/>
            <w:shd w:val="clear" w:color="auto" w:fill="auto"/>
          </w:tcPr>
          <w:p w14:paraId="1EFAFBD9" w14:textId="0316B3F6"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Selling securities holders </w:t>
            </w:r>
          </w:p>
        </w:tc>
        <w:tc>
          <w:tcPr>
            <w:tcW w:w="992" w:type="dxa"/>
            <w:shd w:val="clear" w:color="auto" w:fill="auto"/>
          </w:tcPr>
          <w:p w14:paraId="1D9C653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3E396FF"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D2467F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060DE66A" w14:textId="77777777" w:rsidTr="0073662F">
        <w:trPr>
          <w:trHeight w:val="383"/>
        </w:trPr>
        <w:tc>
          <w:tcPr>
            <w:tcW w:w="851" w:type="dxa"/>
            <w:shd w:val="clear" w:color="auto" w:fill="auto"/>
          </w:tcPr>
          <w:p w14:paraId="20456D4D" w14:textId="6276DE53"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5.7.1 </w:t>
            </w:r>
          </w:p>
        </w:tc>
        <w:tc>
          <w:tcPr>
            <w:tcW w:w="5812" w:type="dxa"/>
            <w:shd w:val="clear" w:color="auto" w:fill="auto"/>
          </w:tcPr>
          <w:p w14:paraId="227EF313" w14:textId="6A4D4F5E"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Name and business address of the person or entity offering to sell the securities, the nature of any position office or other material relationship that the selling persons has had within the past three years with the issuer or any of its predecessors or affiliates. </w:t>
            </w:r>
          </w:p>
        </w:tc>
        <w:tc>
          <w:tcPr>
            <w:tcW w:w="992" w:type="dxa"/>
            <w:shd w:val="clear" w:color="auto" w:fill="auto"/>
          </w:tcPr>
          <w:p w14:paraId="7B3FDA0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B9CD66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AD9F16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B5343C9" w14:textId="77777777" w:rsidTr="0073662F">
        <w:trPr>
          <w:trHeight w:val="383"/>
        </w:trPr>
        <w:tc>
          <w:tcPr>
            <w:tcW w:w="851" w:type="dxa"/>
            <w:shd w:val="clear" w:color="auto" w:fill="auto"/>
          </w:tcPr>
          <w:p w14:paraId="14BED9AF" w14:textId="053C06C6"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lastRenderedPageBreak/>
              <w:t xml:space="preserve">5.7.2 </w:t>
            </w:r>
          </w:p>
        </w:tc>
        <w:tc>
          <w:tcPr>
            <w:tcW w:w="5812" w:type="dxa"/>
            <w:shd w:val="clear" w:color="auto" w:fill="auto"/>
          </w:tcPr>
          <w:p w14:paraId="78B1C292" w14:textId="704A60C2"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The number and class of securities being offered by each of the selling security holders. </w:t>
            </w:r>
          </w:p>
        </w:tc>
        <w:tc>
          <w:tcPr>
            <w:tcW w:w="992" w:type="dxa"/>
            <w:shd w:val="clear" w:color="auto" w:fill="auto"/>
          </w:tcPr>
          <w:p w14:paraId="56825D7D"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249676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5103F25"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509C1A95" w14:textId="77777777" w:rsidTr="0073662F">
        <w:trPr>
          <w:trHeight w:val="383"/>
        </w:trPr>
        <w:tc>
          <w:tcPr>
            <w:tcW w:w="851" w:type="dxa"/>
            <w:shd w:val="clear" w:color="auto" w:fill="auto"/>
          </w:tcPr>
          <w:p w14:paraId="2039D8C3" w14:textId="6ADC8DA1"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5.7.3 </w:t>
            </w:r>
          </w:p>
        </w:tc>
        <w:tc>
          <w:tcPr>
            <w:tcW w:w="5812" w:type="dxa"/>
            <w:shd w:val="clear" w:color="auto" w:fill="auto"/>
          </w:tcPr>
          <w:p w14:paraId="699D8356"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In relation to lock-up agreements, provide details of the following: </w:t>
            </w:r>
          </w:p>
          <w:p w14:paraId="5AC45C79" w14:textId="625CE44B" w:rsidR="006114F3" w:rsidRPr="00C24291" w:rsidRDefault="006114F3" w:rsidP="0073662F">
            <w:pPr>
              <w:pStyle w:val="Default"/>
              <w:numPr>
                <w:ilvl w:val="0"/>
                <w:numId w:val="32"/>
              </w:numPr>
              <w:spacing w:after="120"/>
              <w:ind w:left="360"/>
              <w:rPr>
                <w:rFonts w:ascii="Arial" w:hAnsi="Arial" w:cs="Arial"/>
                <w:sz w:val="18"/>
                <w:szCs w:val="18"/>
              </w:rPr>
            </w:pPr>
            <w:r w:rsidRPr="00C24291">
              <w:rPr>
                <w:rFonts w:ascii="Arial" w:hAnsi="Arial" w:cs="Arial"/>
                <w:sz w:val="18"/>
                <w:szCs w:val="18"/>
              </w:rPr>
              <w:t xml:space="preserve">the parties involved; </w:t>
            </w:r>
          </w:p>
          <w:p w14:paraId="3A1C6CD1" w14:textId="6E9D2F86" w:rsidR="006114F3" w:rsidRPr="00C24291" w:rsidRDefault="006114F3" w:rsidP="0073662F">
            <w:pPr>
              <w:pStyle w:val="Default"/>
              <w:numPr>
                <w:ilvl w:val="0"/>
                <w:numId w:val="32"/>
              </w:numPr>
              <w:spacing w:after="120"/>
              <w:ind w:left="360"/>
              <w:rPr>
                <w:rFonts w:ascii="Arial" w:hAnsi="Arial" w:cs="Arial"/>
                <w:sz w:val="18"/>
                <w:szCs w:val="18"/>
              </w:rPr>
            </w:pPr>
            <w:r w:rsidRPr="00C24291">
              <w:rPr>
                <w:rFonts w:ascii="Arial" w:hAnsi="Arial" w:cs="Arial"/>
                <w:sz w:val="18"/>
                <w:szCs w:val="18"/>
              </w:rPr>
              <w:t xml:space="preserve">the content and exceptions of the agreement; </w:t>
            </w:r>
          </w:p>
          <w:p w14:paraId="663D81E9" w14:textId="3112BDA3" w:rsidR="006114F3" w:rsidRPr="00C24291" w:rsidRDefault="006114F3" w:rsidP="0073662F">
            <w:pPr>
              <w:pStyle w:val="Default"/>
              <w:numPr>
                <w:ilvl w:val="0"/>
                <w:numId w:val="31"/>
              </w:numPr>
              <w:spacing w:after="120"/>
              <w:ind w:left="360"/>
              <w:rPr>
                <w:rFonts w:ascii="Arial" w:hAnsi="Arial" w:cs="Arial"/>
                <w:bCs/>
                <w:sz w:val="18"/>
                <w:szCs w:val="18"/>
              </w:rPr>
            </w:pPr>
            <w:r w:rsidRPr="00C24291">
              <w:rPr>
                <w:rFonts w:ascii="Arial" w:hAnsi="Arial" w:cs="Arial"/>
                <w:sz w:val="18"/>
                <w:szCs w:val="18"/>
              </w:rPr>
              <w:t xml:space="preserve">(c) an indication of the period of the lock up. </w:t>
            </w:r>
          </w:p>
        </w:tc>
        <w:tc>
          <w:tcPr>
            <w:tcW w:w="992" w:type="dxa"/>
            <w:shd w:val="clear" w:color="auto" w:fill="auto"/>
          </w:tcPr>
          <w:p w14:paraId="60ADB60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32C804A"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D423946"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6672CF26" w14:textId="77777777" w:rsidTr="0073662F">
        <w:trPr>
          <w:trHeight w:val="383"/>
        </w:trPr>
        <w:tc>
          <w:tcPr>
            <w:tcW w:w="851" w:type="dxa"/>
            <w:shd w:val="clear" w:color="auto" w:fill="auto"/>
          </w:tcPr>
          <w:p w14:paraId="508150A6" w14:textId="2A324011"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5.8 </w:t>
            </w:r>
          </w:p>
        </w:tc>
        <w:tc>
          <w:tcPr>
            <w:tcW w:w="5812" w:type="dxa"/>
            <w:shd w:val="clear" w:color="auto" w:fill="auto"/>
          </w:tcPr>
          <w:p w14:paraId="0BFFD696" w14:textId="23EFA02C"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Dilution </w:t>
            </w:r>
          </w:p>
        </w:tc>
        <w:tc>
          <w:tcPr>
            <w:tcW w:w="992" w:type="dxa"/>
            <w:shd w:val="clear" w:color="auto" w:fill="auto"/>
          </w:tcPr>
          <w:p w14:paraId="70D800A5"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99DB713"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285149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3D90C373" w14:textId="77777777" w:rsidTr="0073662F">
        <w:trPr>
          <w:trHeight w:val="383"/>
        </w:trPr>
        <w:tc>
          <w:tcPr>
            <w:tcW w:w="851" w:type="dxa"/>
            <w:shd w:val="clear" w:color="auto" w:fill="auto"/>
          </w:tcPr>
          <w:p w14:paraId="0DCB331F" w14:textId="64D09946"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5.8.1 </w:t>
            </w:r>
          </w:p>
        </w:tc>
        <w:tc>
          <w:tcPr>
            <w:tcW w:w="5812" w:type="dxa"/>
            <w:shd w:val="clear" w:color="auto" w:fill="auto"/>
          </w:tcPr>
          <w:p w14:paraId="4774F491" w14:textId="514D5F98"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r w:rsidRPr="00C24291">
              <w:rPr>
                <w:rFonts w:ascii="Arial" w:hAnsi="Arial" w:cs="Arial"/>
                <w:sz w:val="18"/>
                <w:szCs w:val="18"/>
              </w:rPr>
              <w:t xml:space="preserve">A comparison of participation in share capital and voting rights for existing shareholders before and after the capital increase resulting from the public offer, with the assumption that existing shareholders do not subscribe for the new shares. </w:t>
            </w:r>
          </w:p>
        </w:tc>
        <w:tc>
          <w:tcPr>
            <w:tcW w:w="992" w:type="dxa"/>
            <w:shd w:val="clear" w:color="auto" w:fill="auto"/>
          </w:tcPr>
          <w:p w14:paraId="6CD74361"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940BEE0"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3E75ABC"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6114F3" w:rsidRPr="00C24291" w14:paraId="49D7A551" w14:textId="77777777" w:rsidTr="0073662F">
        <w:trPr>
          <w:trHeight w:val="383"/>
        </w:trPr>
        <w:tc>
          <w:tcPr>
            <w:tcW w:w="851" w:type="dxa"/>
            <w:shd w:val="clear" w:color="auto" w:fill="auto"/>
          </w:tcPr>
          <w:p w14:paraId="4DC5D247" w14:textId="31950F1D" w:rsidR="006114F3" w:rsidRPr="00606B77" w:rsidRDefault="006114F3" w:rsidP="00C24291">
            <w:pPr>
              <w:pStyle w:val="Default"/>
              <w:spacing w:after="60"/>
              <w:rPr>
                <w:rFonts w:ascii="Arial" w:hAnsi="Arial" w:cs="Arial"/>
                <w:color w:val="auto"/>
                <w:sz w:val="18"/>
                <w:szCs w:val="18"/>
              </w:rPr>
            </w:pPr>
            <w:r w:rsidRPr="00606B77">
              <w:rPr>
                <w:rFonts w:ascii="Arial" w:hAnsi="Arial" w:cs="Arial"/>
                <w:bCs/>
                <w:sz w:val="18"/>
                <w:szCs w:val="18"/>
              </w:rPr>
              <w:t xml:space="preserve">5.8.2 </w:t>
            </w:r>
          </w:p>
        </w:tc>
        <w:tc>
          <w:tcPr>
            <w:tcW w:w="5812" w:type="dxa"/>
            <w:shd w:val="clear" w:color="auto" w:fill="auto"/>
          </w:tcPr>
          <w:p w14:paraId="28DE72A4" w14:textId="77777777" w:rsidR="006114F3" w:rsidRPr="00C24291" w:rsidRDefault="006114F3" w:rsidP="0073662F">
            <w:pPr>
              <w:pStyle w:val="Default"/>
              <w:spacing w:after="120"/>
              <w:rPr>
                <w:rFonts w:ascii="Arial" w:hAnsi="Arial" w:cs="Arial"/>
                <w:sz w:val="18"/>
                <w:szCs w:val="18"/>
              </w:rPr>
            </w:pPr>
            <w:r w:rsidRPr="00C24291">
              <w:rPr>
                <w:rFonts w:ascii="Arial" w:hAnsi="Arial" w:cs="Arial"/>
                <w:sz w:val="18"/>
                <w:szCs w:val="18"/>
              </w:rPr>
              <w:t xml:space="preserve">Where existing shareholders will be diluted regardless of whether they subscribe for their entitlement, because a part of the relevant share issue is reserved only for certain investors (e.g. an institutional placing coupled with an offer to shareholders), an indication of the dilution existing shareholders will experience should also be presented on the basis that they do take up their entitlement (in addition to the situation in item 5.8.1 where they do not). </w:t>
            </w:r>
          </w:p>
          <w:p w14:paraId="3920D44C" w14:textId="77777777" w:rsidR="006114F3" w:rsidRPr="00C24291" w:rsidRDefault="006114F3" w:rsidP="0073662F">
            <w:pPr>
              <w:autoSpaceDE w:val="0"/>
              <w:autoSpaceDN w:val="0"/>
              <w:adjustRightInd w:val="0"/>
              <w:spacing w:after="120"/>
              <w:rPr>
                <w:rFonts w:ascii="Arial" w:eastAsiaTheme="minorHAnsi" w:hAnsi="Arial" w:cs="Arial"/>
                <w:bCs/>
                <w:sz w:val="18"/>
                <w:szCs w:val="18"/>
                <w:lang w:eastAsia="en-US"/>
              </w:rPr>
            </w:pPr>
          </w:p>
        </w:tc>
        <w:tc>
          <w:tcPr>
            <w:tcW w:w="992" w:type="dxa"/>
            <w:shd w:val="clear" w:color="auto" w:fill="auto"/>
          </w:tcPr>
          <w:p w14:paraId="3B7D2DAB"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C4DCC97"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FAEA408" w14:textId="77777777" w:rsidR="006114F3" w:rsidRPr="00C24291" w:rsidRDefault="006114F3" w:rsidP="00C24291">
            <w:pPr>
              <w:autoSpaceDE w:val="0"/>
              <w:autoSpaceDN w:val="0"/>
              <w:adjustRightInd w:val="0"/>
              <w:spacing w:after="60"/>
              <w:rPr>
                <w:rFonts w:ascii="Arial" w:eastAsiaTheme="minorHAnsi" w:hAnsi="Arial" w:cs="Arial"/>
                <w:bCs/>
                <w:sz w:val="18"/>
                <w:szCs w:val="18"/>
                <w:lang w:eastAsia="en-US"/>
              </w:rPr>
            </w:pPr>
          </w:p>
        </w:tc>
      </w:tr>
      <w:tr w:rsidR="008C683F" w:rsidRPr="00C24291" w14:paraId="3C67611F" w14:textId="77777777" w:rsidTr="0073662F">
        <w:trPr>
          <w:trHeight w:val="383"/>
        </w:trPr>
        <w:tc>
          <w:tcPr>
            <w:tcW w:w="851" w:type="dxa"/>
            <w:shd w:val="clear" w:color="auto" w:fill="auto"/>
          </w:tcPr>
          <w:p w14:paraId="15BE6699" w14:textId="01A1E951" w:rsidR="008C683F" w:rsidRPr="00606B77" w:rsidRDefault="008C683F" w:rsidP="00C24291">
            <w:pPr>
              <w:pStyle w:val="Default"/>
              <w:spacing w:after="60"/>
              <w:rPr>
                <w:rFonts w:ascii="Arial" w:hAnsi="Arial" w:cs="Arial"/>
                <w:bCs/>
                <w:sz w:val="18"/>
                <w:szCs w:val="18"/>
              </w:rPr>
            </w:pPr>
            <w:r w:rsidRPr="00606B77">
              <w:rPr>
                <w:rFonts w:ascii="Arial" w:hAnsi="Arial" w:cs="Arial"/>
                <w:bCs/>
                <w:sz w:val="18"/>
                <w:szCs w:val="18"/>
              </w:rPr>
              <w:t>6</w:t>
            </w:r>
          </w:p>
        </w:tc>
        <w:tc>
          <w:tcPr>
            <w:tcW w:w="5812" w:type="dxa"/>
            <w:shd w:val="clear" w:color="auto" w:fill="auto"/>
          </w:tcPr>
          <w:p w14:paraId="4472CB75" w14:textId="0FC24461" w:rsidR="008C683F" w:rsidRPr="00B7490E" w:rsidRDefault="008C683F" w:rsidP="0073662F">
            <w:pPr>
              <w:pStyle w:val="Default"/>
              <w:spacing w:after="120"/>
              <w:rPr>
                <w:rFonts w:ascii="Arial" w:hAnsi="Arial" w:cs="Arial"/>
                <w:b/>
                <w:sz w:val="18"/>
                <w:szCs w:val="18"/>
              </w:rPr>
            </w:pPr>
            <w:r w:rsidRPr="00B7490E">
              <w:rPr>
                <w:rFonts w:ascii="Arial" w:hAnsi="Arial" w:cs="Arial"/>
                <w:b/>
                <w:sz w:val="18"/>
                <w:szCs w:val="18"/>
              </w:rPr>
              <w:t>UNDERLYING SHARE INFORMATION (WHERE APPLICABLE)</w:t>
            </w:r>
          </w:p>
        </w:tc>
        <w:tc>
          <w:tcPr>
            <w:tcW w:w="992" w:type="dxa"/>
            <w:shd w:val="clear" w:color="auto" w:fill="auto"/>
          </w:tcPr>
          <w:p w14:paraId="02F42A1D"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C004F82"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2F7182D"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r>
      <w:tr w:rsidR="008C683F" w:rsidRPr="00C24291" w14:paraId="141CF0C3" w14:textId="77777777" w:rsidTr="0073662F">
        <w:trPr>
          <w:trHeight w:val="383"/>
        </w:trPr>
        <w:tc>
          <w:tcPr>
            <w:tcW w:w="851" w:type="dxa"/>
            <w:shd w:val="clear" w:color="auto" w:fill="auto"/>
          </w:tcPr>
          <w:p w14:paraId="31AE5836" w14:textId="03E48AE2" w:rsidR="008C683F" w:rsidRPr="00606B77" w:rsidRDefault="008C683F" w:rsidP="00C24291">
            <w:pPr>
              <w:pStyle w:val="Default"/>
              <w:spacing w:after="60"/>
              <w:rPr>
                <w:rFonts w:ascii="Arial" w:hAnsi="Arial" w:cs="Arial"/>
                <w:bCs/>
                <w:sz w:val="18"/>
                <w:szCs w:val="18"/>
              </w:rPr>
            </w:pPr>
            <w:r w:rsidRPr="00606B77">
              <w:rPr>
                <w:rFonts w:ascii="Arial" w:hAnsi="Arial" w:cs="Arial"/>
                <w:bCs/>
                <w:sz w:val="18"/>
                <w:szCs w:val="18"/>
              </w:rPr>
              <w:t>6.1</w:t>
            </w:r>
          </w:p>
        </w:tc>
        <w:tc>
          <w:tcPr>
            <w:tcW w:w="5812" w:type="dxa"/>
            <w:shd w:val="clear" w:color="auto" w:fill="auto"/>
          </w:tcPr>
          <w:p w14:paraId="087ACFFC" w14:textId="13B2C4B1" w:rsidR="008C683F" w:rsidRPr="00C24291" w:rsidRDefault="008C683F" w:rsidP="0073662F">
            <w:pPr>
              <w:pStyle w:val="Default"/>
              <w:spacing w:after="120"/>
              <w:rPr>
                <w:rFonts w:ascii="Arial" w:hAnsi="Arial" w:cs="Arial"/>
                <w:sz w:val="18"/>
                <w:szCs w:val="18"/>
              </w:rPr>
            </w:pPr>
            <w:r w:rsidRPr="008C683F">
              <w:rPr>
                <w:rFonts w:ascii="Arial" w:hAnsi="Arial" w:cs="Arial"/>
                <w:sz w:val="18"/>
                <w:szCs w:val="18"/>
              </w:rPr>
              <w:t>Where applicable, the information referred to in Annex 18.</w:t>
            </w:r>
          </w:p>
        </w:tc>
        <w:tc>
          <w:tcPr>
            <w:tcW w:w="992" w:type="dxa"/>
            <w:shd w:val="clear" w:color="auto" w:fill="auto"/>
          </w:tcPr>
          <w:p w14:paraId="6A89AB25"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E7797E9"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D0BADF3"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r>
      <w:tr w:rsidR="008C683F" w:rsidRPr="00C24291" w14:paraId="6CCA363F" w14:textId="77777777" w:rsidTr="0073662F">
        <w:trPr>
          <w:trHeight w:val="383"/>
        </w:trPr>
        <w:tc>
          <w:tcPr>
            <w:tcW w:w="851" w:type="dxa"/>
            <w:shd w:val="clear" w:color="auto" w:fill="auto"/>
          </w:tcPr>
          <w:p w14:paraId="3F4ED9FD" w14:textId="2D0CA9B5" w:rsidR="008C683F" w:rsidRPr="00606B77" w:rsidRDefault="008C683F" w:rsidP="00C24291">
            <w:pPr>
              <w:pStyle w:val="Default"/>
              <w:spacing w:after="60"/>
              <w:rPr>
                <w:rFonts w:ascii="Arial" w:hAnsi="Arial" w:cs="Arial"/>
                <w:bCs/>
                <w:sz w:val="18"/>
                <w:szCs w:val="18"/>
              </w:rPr>
            </w:pPr>
            <w:r w:rsidRPr="00606B77">
              <w:rPr>
                <w:rFonts w:ascii="Arial" w:hAnsi="Arial" w:cs="Arial"/>
                <w:bCs/>
                <w:sz w:val="18"/>
                <w:szCs w:val="18"/>
              </w:rPr>
              <w:t>7</w:t>
            </w:r>
          </w:p>
        </w:tc>
        <w:tc>
          <w:tcPr>
            <w:tcW w:w="5812" w:type="dxa"/>
            <w:shd w:val="clear" w:color="auto" w:fill="auto"/>
          </w:tcPr>
          <w:p w14:paraId="4F0D856B" w14:textId="4B7A3DB8" w:rsidR="008C683F" w:rsidRPr="00B7490E" w:rsidRDefault="008C683F" w:rsidP="0073662F">
            <w:pPr>
              <w:pStyle w:val="Default"/>
              <w:spacing w:after="120"/>
              <w:rPr>
                <w:rFonts w:ascii="Arial" w:hAnsi="Arial" w:cs="Arial"/>
                <w:b/>
                <w:sz w:val="18"/>
                <w:szCs w:val="18"/>
              </w:rPr>
            </w:pPr>
            <w:r w:rsidRPr="00B7490E">
              <w:rPr>
                <w:rFonts w:ascii="Arial" w:hAnsi="Arial" w:cs="Arial"/>
                <w:b/>
                <w:sz w:val="18"/>
                <w:szCs w:val="18"/>
              </w:rPr>
              <w:t>CONSENT INFORMATION (WHERE APPLICABLE)</w:t>
            </w:r>
          </w:p>
        </w:tc>
        <w:tc>
          <w:tcPr>
            <w:tcW w:w="992" w:type="dxa"/>
            <w:shd w:val="clear" w:color="auto" w:fill="auto"/>
          </w:tcPr>
          <w:p w14:paraId="54C430C9"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59083D6"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41E630A" w14:textId="77777777" w:rsidR="008C683F" w:rsidRDefault="008C683F" w:rsidP="00C24291">
            <w:pPr>
              <w:autoSpaceDE w:val="0"/>
              <w:autoSpaceDN w:val="0"/>
              <w:adjustRightInd w:val="0"/>
              <w:spacing w:after="60"/>
              <w:rPr>
                <w:rFonts w:ascii="Arial" w:eastAsiaTheme="minorHAnsi" w:hAnsi="Arial" w:cs="Arial"/>
                <w:bCs/>
                <w:sz w:val="18"/>
                <w:szCs w:val="18"/>
                <w:lang w:eastAsia="en-US"/>
              </w:rPr>
            </w:pPr>
          </w:p>
        </w:tc>
      </w:tr>
      <w:tr w:rsidR="008C683F" w:rsidRPr="00C24291" w14:paraId="2AE35ACD" w14:textId="77777777" w:rsidTr="0073662F">
        <w:trPr>
          <w:trHeight w:val="383"/>
        </w:trPr>
        <w:tc>
          <w:tcPr>
            <w:tcW w:w="851" w:type="dxa"/>
            <w:shd w:val="clear" w:color="auto" w:fill="auto"/>
          </w:tcPr>
          <w:p w14:paraId="7D888AF9" w14:textId="3BFF9E4B" w:rsidR="008C683F" w:rsidRPr="00606B77" w:rsidRDefault="008C683F" w:rsidP="00C24291">
            <w:pPr>
              <w:pStyle w:val="Default"/>
              <w:spacing w:after="60"/>
              <w:rPr>
                <w:rFonts w:ascii="Arial" w:hAnsi="Arial" w:cs="Arial"/>
                <w:bCs/>
                <w:sz w:val="18"/>
                <w:szCs w:val="18"/>
              </w:rPr>
            </w:pPr>
            <w:r w:rsidRPr="00606B77">
              <w:rPr>
                <w:rFonts w:ascii="Arial" w:hAnsi="Arial" w:cs="Arial"/>
                <w:bCs/>
                <w:sz w:val="18"/>
                <w:szCs w:val="18"/>
              </w:rPr>
              <w:t>7.1</w:t>
            </w:r>
          </w:p>
        </w:tc>
        <w:tc>
          <w:tcPr>
            <w:tcW w:w="5812" w:type="dxa"/>
            <w:shd w:val="clear" w:color="auto" w:fill="auto"/>
          </w:tcPr>
          <w:p w14:paraId="6CB28E14" w14:textId="77777777" w:rsidR="008C683F" w:rsidRDefault="008C683F" w:rsidP="0073662F">
            <w:pPr>
              <w:pStyle w:val="Default"/>
              <w:spacing w:after="120"/>
              <w:rPr>
                <w:rFonts w:ascii="Arial" w:hAnsi="Arial" w:cs="Arial"/>
                <w:sz w:val="18"/>
                <w:szCs w:val="18"/>
              </w:rPr>
            </w:pPr>
            <w:r w:rsidRPr="008C683F">
              <w:rPr>
                <w:rFonts w:ascii="Arial" w:hAnsi="Arial" w:cs="Arial"/>
                <w:sz w:val="18"/>
                <w:szCs w:val="18"/>
              </w:rPr>
              <w:t xml:space="preserve">Where the issuer or the person responsible for drawing up </w:t>
            </w:r>
            <w:proofErr w:type="gramStart"/>
            <w:r w:rsidRPr="008C683F">
              <w:rPr>
                <w:rFonts w:ascii="Arial" w:hAnsi="Arial" w:cs="Arial"/>
                <w:sz w:val="18"/>
                <w:szCs w:val="18"/>
              </w:rPr>
              <w:t>a prospectus consents</w:t>
            </w:r>
            <w:proofErr w:type="gramEnd"/>
            <w:r w:rsidRPr="008C683F">
              <w:rPr>
                <w:rFonts w:ascii="Arial" w:hAnsi="Arial" w:cs="Arial"/>
                <w:sz w:val="18"/>
                <w:szCs w:val="18"/>
              </w:rPr>
              <w:t xml:space="preserve"> to its use as referred to in the second subparagraph of Article 5(1) of Regulation (EU) 2017/1129, the fo</w:t>
            </w:r>
            <w:r>
              <w:rPr>
                <w:rFonts w:ascii="Arial" w:hAnsi="Arial" w:cs="Arial"/>
                <w:sz w:val="18"/>
                <w:szCs w:val="18"/>
              </w:rPr>
              <w:t>llowing additional information:</w:t>
            </w:r>
          </w:p>
          <w:p w14:paraId="0F12AD3A" w14:textId="2CBCAD64" w:rsidR="008C683F" w:rsidRDefault="008C683F" w:rsidP="0073662F">
            <w:pPr>
              <w:pStyle w:val="Default"/>
              <w:numPr>
                <w:ilvl w:val="0"/>
                <w:numId w:val="33"/>
              </w:numPr>
              <w:spacing w:after="120"/>
              <w:rPr>
                <w:rFonts w:ascii="Arial" w:hAnsi="Arial" w:cs="Arial"/>
                <w:sz w:val="18"/>
                <w:szCs w:val="18"/>
              </w:rPr>
            </w:pPr>
            <w:r w:rsidRPr="008C683F">
              <w:rPr>
                <w:rFonts w:ascii="Arial" w:hAnsi="Arial" w:cs="Arial"/>
                <w:sz w:val="18"/>
                <w:szCs w:val="18"/>
              </w:rPr>
              <w:t>the information referred to in sections 1 and 2A of Annex 22 where the consent is provided to one or more spec</w:t>
            </w:r>
            <w:r>
              <w:rPr>
                <w:rFonts w:ascii="Arial" w:hAnsi="Arial" w:cs="Arial"/>
                <w:sz w:val="18"/>
                <w:szCs w:val="18"/>
              </w:rPr>
              <w:t>ified financial intermediaries;</w:t>
            </w:r>
          </w:p>
          <w:p w14:paraId="7A4861A6" w14:textId="28A73322" w:rsidR="008C683F" w:rsidRPr="00C24291" w:rsidRDefault="008C683F" w:rsidP="0073662F">
            <w:pPr>
              <w:pStyle w:val="Default"/>
              <w:numPr>
                <w:ilvl w:val="0"/>
                <w:numId w:val="33"/>
              </w:numPr>
              <w:spacing w:after="120"/>
              <w:rPr>
                <w:rFonts w:ascii="Arial" w:hAnsi="Arial" w:cs="Arial"/>
                <w:sz w:val="18"/>
                <w:szCs w:val="18"/>
              </w:rPr>
            </w:pPr>
            <w:bookmarkStart w:id="0" w:name="_GoBack"/>
            <w:bookmarkEnd w:id="0"/>
            <w:r w:rsidRPr="008C683F">
              <w:rPr>
                <w:rFonts w:ascii="Arial" w:hAnsi="Arial" w:cs="Arial"/>
                <w:sz w:val="18"/>
                <w:szCs w:val="18"/>
              </w:rPr>
              <w:t>the information referred to in sections 1 and 2B of Annex 22 where the consent is given to all financial intermediaries.</w:t>
            </w:r>
          </w:p>
        </w:tc>
        <w:tc>
          <w:tcPr>
            <w:tcW w:w="992" w:type="dxa"/>
            <w:shd w:val="clear" w:color="auto" w:fill="auto"/>
          </w:tcPr>
          <w:p w14:paraId="45D70C6C"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6047375" w14:textId="77777777" w:rsidR="008C683F" w:rsidRPr="00C24291" w:rsidRDefault="008C683F" w:rsidP="00C24291">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3CE42BE" w14:textId="77777777" w:rsidR="008C683F" w:rsidRDefault="008C683F" w:rsidP="00C24291">
            <w:pPr>
              <w:autoSpaceDE w:val="0"/>
              <w:autoSpaceDN w:val="0"/>
              <w:adjustRightInd w:val="0"/>
              <w:spacing w:after="60"/>
              <w:rPr>
                <w:rFonts w:ascii="Arial" w:eastAsiaTheme="minorHAnsi" w:hAnsi="Arial" w:cs="Arial"/>
                <w:bCs/>
                <w:sz w:val="18"/>
                <w:szCs w:val="18"/>
                <w:lang w:eastAsia="en-US"/>
              </w:rPr>
            </w:pPr>
          </w:p>
        </w:tc>
      </w:tr>
    </w:tbl>
    <w:p w14:paraId="0BD8ABD8" w14:textId="0072EC62" w:rsidR="00FA3560" w:rsidRPr="00F4027B" w:rsidRDefault="00FA3560" w:rsidP="00FA3560">
      <w:pPr>
        <w:pStyle w:val="Lev1Text"/>
        <w:rPr>
          <w:rFonts w:ascii="Arial" w:hAnsi="Arial" w:cs="Arial"/>
        </w:rPr>
      </w:pPr>
    </w:p>
    <w:sectPr w:rsidR="00FA3560" w:rsidRPr="00F4027B" w:rsidSect="00FD68AC">
      <w:footerReference w:type="default" r:id="rId10"/>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DC3DE" w14:textId="77777777" w:rsidR="005560DF" w:rsidRDefault="005560DF" w:rsidP="00FB1F6E">
      <w:r>
        <w:separator/>
      </w:r>
    </w:p>
  </w:endnote>
  <w:endnote w:type="continuationSeparator" w:id="0">
    <w:p w14:paraId="35F72471" w14:textId="77777777" w:rsidR="005560DF" w:rsidRDefault="005560DF"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5D5CF106"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73662F">
          <w:rPr>
            <w:rFonts w:ascii="Arial" w:hAnsi="Arial" w:cs="Arial"/>
            <w:noProof/>
            <w:sz w:val="20"/>
          </w:rPr>
          <w:t>8</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820246">
          <w:rPr>
            <w:rFonts w:ascii="Arial" w:hAnsi="Arial" w:cs="Arial"/>
            <w:noProof/>
            <w:sz w:val="20"/>
          </w:rPr>
          <w:t xml:space="preserve">January </w:t>
        </w:r>
        <w:r w:rsidR="008C683F">
          <w:rPr>
            <w:rFonts w:ascii="Arial" w:hAnsi="Arial" w:cs="Arial"/>
            <w:noProof/>
            <w:sz w:val="20"/>
          </w:rPr>
          <w:t>202</w:t>
        </w:r>
        <w:r w:rsidR="00820246">
          <w:rPr>
            <w:rFonts w:ascii="Arial" w:hAnsi="Arial" w:cs="Arial"/>
            <w:noProof/>
            <w:sz w:val="20"/>
          </w:rPr>
          <w:t>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CB635" w14:textId="77777777" w:rsidR="005560DF" w:rsidRDefault="005560DF" w:rsidP="00FB1F6E">
      <w:r>
        <w:separator/>
      </w:r>
    </w:p>
  </w:footnote>
  <w:footnote w:type="continuationSeparator" w:id="0">
    <w:p w14:paraId="4747BB5C" w14:textId="77777777" w:rsidR="005560DF" w:rsidRDefault="005560DF"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0101000"/>
    <w:multiLevelType w:val="hybridMultilevel"/>
    <w:tmpl w:val="131426AC"/>
    <w:lvl w:ilvl="0" w:tplc="939C623E">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3" w15:restartNumberingAfterBreak="0">
    <w:nsid w:val="0D907F71"/>
    <w:multiLevelType w:val="hybridMultilevel"/>
    <w:tmpl w:val="C05E7670"/>
    <w:lvl w:ilvl="0" w:tplc="62CA54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6" w15:restartNumberingAfterBreak="0">
    <w:nsid w:val="15C31DD7"/>
    <w:multiLevelType w:val="hybridMultilevel"/>
    <w:tmpl w:val="C1CE85AC"/>
    <w:lvl w:ilvl="0" w:tplc="62CA54F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416F21"/>
    <w:multiLevelType w:val="hybridMultilevel"/>
    <w:tmpl w:val="27AE86CC"/>
    <w:lvl w:ilvl="0" w:tplc="62CA54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9" w15:restartNumberingAfterBreak="0">
    <w:nsid w:val="20AE719F"/>
    <w:multiLevelType w:val="hybridMultilevel"/>
    <w:tmpl w:val="FA088BE8"/>
    <w:lvl w:ilvl="0" w:tplc="62CA54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1" w15:restartNumberingAfterBreak="0">
    <w:nsid w:val="2D0726F1"/>
    <w:multiLevelType w:val="hybridMultilevel"/>
    <w:tmpl w:val="27DC65D8"/>
    <w:lvl w:ilvl="0" w:tplc="62CA54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3"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4" w15:restartNumberingAfterBreak="0">
    <w:nsid w:val="39BA416C"/>
    <w:multiLevelType w:val="hybridMultilevel"/>
    <w:tmpl w:val="82267F26"/>
    <w:lvl w:ilvl="0" w:tplc="5AD870E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3AC84E7A"/>
    <w:multiLevelType w:val="hybridMultilevel"/>
    <w:tmpl w:val="CF5204C2"/>
    <w:lvl w:ilvl="0" w:tplc="939C623E">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EE4639"/>
    <w:multiLevelType w:val="hybridMultilevel"/>
    <w:tmpl w:val="7624DA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856AB0"/>
    <w:multiLevelType w:val="hybridMultilevel"/>
    <w:tmpl w:val="550E5980"/>
    <w:lvl w:ilvl="0" w:tplc="62CA54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0" w15:restartNumberingAfterBreak="0">
    <w:nsid w:val="4DB975FE"/>
    <w:multiLevelType w:val="hybridMultilevel"/>
    <w:tmpl w:val="B89A8D74"/>
    <w:lvl w:ilvl="0" w:tplc="62CA54FA">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704D75"/>
    <w:multiLevelType w:val="hybridMultilevel"/>
    <w:tmpl w:val="711C9D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A827A0"/>
    <w:multiLevelType w:val="hybridMultilevel"/>
    <w:tmpl w:val="45C60C70"/>
    <w:lvl w:ilvl="0" w:tplc="62CA54F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4" w15:restartNumberingAfterBreak="0">
    <w:nsid w:val="557658B0"/>
    <w:multiLevelType w:val="hybridMultilevel"/>
    <w:tmpl w:val="840A0FB2"/>
    <w:lvl w:ilvl="0" w:tplc="62CA54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6"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C7B85"/>
    <w:multiLevelType w:val="hybridMultilevel"/>
    <w:tmpl w:val="3252FC04"/>
    <w:lvl w:ilvl="0" w:tplc="62CA54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30" w15:restartNumberingAfterBreak="0">
    <w:nsid w:val="6E406DA3"/>
    <w:multiLevelType w:val="hybridMultilevel"/>
    <w:tmpl w:val="E5BACD58"/>
    <w:lvl w:ilvl="0" w:tplc="90BE70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CA712A"/>
    <w:multiLevelType w:val="hybridMultilevel"/>
    <w:tmpl w:val="CCCC4848"/>
    <w:lvl w:ilvl="0" w:tplc="62CA54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33" w15:restartNumberingAfterBreak="0">
    <w:nsid w:val="769222CD"/>
    <w:multiLevelType w:val="hybridMultilevel"/>
    <w:tmpl w:val="8C70274C"/>
    <w:lvl w:ilvl="0" w:tplc="939C623E">
      <w:start w:val="1"/>
      <w:numFmt w:val="lowerRoman"/>
      <w:lvlText w:val="(%1)"/>
      <w:lvlJc w:val="left"/>
      <w:pPr>
        <w:ind w:left="1440" w:hanging="720"/>
      </w:pPr>
      <w:rPr>
        <w:rFonts w:hint="default"/>
      </w:rPr>
    </w:lvl>
    <w:lvl w:ilvl="1" w:tplc="D338A084">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9"/>
  </w:num>
  <w:num w:numId="3">
    <w:abstractNumId w:val="25"/>
  </w:num>
  <w:num w:numId="4">
    <w:abstractNumId w:val="19"/>
  </w:num>
  <w:num w:numId="5">
    <w:abstractNumId w:val="10"/>
  </w:num>
  <w:num w:numId="6">
    <w:abstractNumId w:val="32"/>
  </w:num>
  <w:num w:numId="7">
    <w:abstractNumId w:val="23"/>
  </w:num>
  <w:num w:numId="8">
    <w:abstractNumId w:val="2"/>
  </w:num>
  <w:num w:numId="9">
    <w:abstractNumId w:val="5"/>
  </w:num>
  <w:num w:numId="10">
    <w:abstractNumId w:val="13"/>
  </w:num>
  <w:num w:numId="11">
    <w:abstractNumId w:val="8"/>
  </w:num>
  <w:num w:numId="12">
    <w:abstractNumId w:val="12"/>
  </w:num>
  <w:num w:numId="13">
    <w:abstractNumId w:val="27"/>
  </w:num>
  <w:num w:numId="14">
    <w:abstractNumId w:val="18"/>
  </w:num>
  <w:num w:numId="15">
    <w:abstractNumId w:val="4"/>
  </w:num>
  <w:num w:numId="16">
    <w:abstractNumId w:val="26"/>
  </w:num>
  <w:num w:numId="17">
    <w:abstractNumId w:val="14"/>
  </w:num>
  <w:num w:numId="18">
    <w:abstractNumId w:val="21"/>
  </w:num>
  <w:num w:numId="19">
    <w:abstractNumId w:val="24"/>
  </w:num>
  <w:num w:numId="20">
    <w:abstractNumId w:val="17"/>
  </w:num>
  <w:num w:numId="21">
    <w:abstractNumId w:val="28"/>
  </w:num>
  <w:num w:numId="22">
    <w:abstractNumId w:val="3"/>
  </w:num>
  <w:num w:numId="23">
    <w:abstractNumId w:val="31"/>
  </w:num>
  <w:num w:numId="24">
    <w:abstractNumId w:val="33"/>
  </w:num>
  <w:num w:numId="25">
    <w:abstractNumId w:val="20"/>
  </w:num>
  <w:num w:numId="26">
    <w:abstractNumId w:val="1"/>
  </w:num>
  <w:num w:numId="27">
    <w:abstractNumId w:val="15"/>
  </w:num>
  <w:num w:numId="28">
    <w:abstractNumId w:val="6"/>
  </w:num>
  <w:num w:numId="29">
    <w:abstractNumId w:val="11"/>
  </w:num>
  <w:num w:numId="30">
    <w:abstractNumId w:val="22"/>
  </w:num>
  <w:num w:numId="31">
    <w:abstractNumId w:val="7"/>
  </w:num>
  <w:num w:numId="32">
    <w:abstractNumId w:val="9"/>
  </w:num>
  <w:num w:numId="33">
    <w:abstractNumId w:val="1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6176E"/>
    <w:rsid w:val="000C04AD"/>
    <w:rsid w:val="000D42C9"/>
    <w:rsid w:val="000F12B6"/>
    <w:rsid w:val="00117D8B"/>
    <w:rsid w:val="00132691"/>
    <w:rsid w:val="00152770"/>
    <w:rsid w:val="00153A54"/>
    <w:rsid w:val="001A2B14"/>
    <w:rsid w:val="001A2FCD"/>
    <w:rsid w:val="001F2425"/>
    <w:rsid w:val="001F2F40"/>
    <w:rsid w:val="00226ADF"/>
    <w:rsid w:val="002603CD"/>
    <w:rsid w:val="00260A85"/>
    <w:rsid w:val="00277EA4"/>
    <w:rsid w:val="00286D8E"/>
    <w:rsid w:val="0029648B"/>
    <w:rsid w:val="00296BC5"/>
    <w:rsid w:val="002B3A3A"/>
    <w:rsid w:val="003636DA"/>
    <w:rsid w:val="003951ED"/>
    <w:rsid w:val="00417497"/>
    <w:rsid w:val="004D205C"/>
    <w:rsid w:val="005128F7"/>
    <w:rsid w:val="005560DF"/>
    <w:rsid w:val="00572676"/>
    <w:rsid w:val="00584BF5"/>
    <w:rsid w:val="005D511B"/>
    <w:rsid w:val="005E1653"/>
    <w:rsid w:val="005F59B5"/>
    <w:rsid w:val="00606B77"/>
    <w:rsid w:val="006106E9"/>
    <w:rsid w:val="006114F3"/>
    <w:rsid w:val="006366AE"/>
    <w:rsid w:val="00670DA3"/>
    <w:rsid w:val="006D3657"/>
    <w:rsid w:val="0073662F"/>
    <w:rsid w:val="00743D12"/>
    <w:rsid w:val="007F1FBC"/>
    <w:rsid w:val="00820246"/>
    <w:rsid w:val="00830024"/>
    <w:rsid w:val="00861651"/>
    <w:rsid w:val="008C683F"/>
    <w:rsid w:val="008F4819"/>
    <w:rsid w:val="009504D8"/>
    <w:rsid w:val="00977704"/>
    <w:rsid w:val="009C3D81"/>
    <w:rsid w:val="009D18F8"/>
    <w:rsid w:val="009F6F91"/>
    <w:rsid w:val="00A00063"/>
    <w:rsid w:val="00A34E7C"/>
    <w:rsid w:val="00A373DE"/>
    <w:rsid w:val="00A910B2"/>
    <w:rsid w:val="00A9200E"/>
    <w:rsid w:val="00B1478A"/>
    <w:rsid w:val="00B23AB4"/>
    <w:rsid w:val="00B704D8"/>
    <w:rsid w:val="00B7490E"/>
    <w:rsid w:val="00BC690F"/>
    <w:rsid w:val="00C24291"/>
    <w:rsid w:val="00C27786"/>
    <w:rsid w:val="00CA11BE"/>
    <w:rsid w:val="00CC4A36"/>
    <w:rsid w:val="00CC7DD6"/>
    <w:rsid w:val="00CD1558"/>
    <w:rsid w:val="00D27647"/>
    <w:rsid w:val="00D322CF"/>
    <w:rsid w:val="00D32888"/>
    <w:rsid w:val="00D65F6C"/>
    <w:rsid w:val="00D8044A"/>
    <w:rsid w:val="00E0359F"/>
    <w:rsid w:val="00E05B08"/>
    <w:rsid w:val="00E23BA6"/>
    <w:rsid w:val="00E24EA9"/>
    <w:rsid w:val="00E40FE9"/>
    <w:rsid w:val="00EC1152"/>
    <w:rsid w:val="00F4027B"/>
    <w:rsid w:val="00F56EC0"/>
    <w:rsid w:val="00F858A4"/>
    <w:rsid w:val="00FA0005"/>
    <w:rsid w:val="00FA356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 w:type="paragraph" w:styleId="BalloonText">
    <w:name w:val="Balloon Text"/>
    <w:basedOn w:val="Normal"/>
    <w:link w:val="BalloonTextChar"/>
    <w:uiPriority w:val="99"/>
    <w:semiHidden/>
    <w:unhideWhenUsed/>
    <w:rsid w:val="00CC7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DD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AB46-0D9F-4813-B5C3-7AA90BF05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2B831-4EB0-4D30-A532-469CC011AB1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8af92bc-8e34-4a61-9cd3-9718f5025eb6"/>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28547B6-6E37-4931-962F-691154DDF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3343</Words>
  <Characters>19058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4</cp:revision>
  <dcterms:created xsi:type="dcterms:W3CDTF">2020-12-29T18:03:00Z</dcterms:created>
  <dcterms:modified xsi:type="dcterms:W3CDTF">2020-12-30T18:27:00Z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