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C9061" w14:textId="04F887E0" w:rsidR="00B446DF" w:rsidRPr="003A0536" w:rsidRDefault="008E4ACA" w:rsidP="003A0536">
      <w:pPr>
        <w:ind w:left="-2410"/>
        <w:rPr>
          <w:rFonts w:ascii="Verdana" w:hAnsi="Verdana"/>
          <w:b/>
          <w:sz w:val="28"/>
          <w:szCs w:val="28"/>
        </w:rPr>
      </w:pPr>
      <w:r>
        <w:rPr>
          <w:noProof/>
          <w:sz w:val="28"/>
          <w:szCs w:val="28"/>
        </w:rPr>
        <w:pict w14:anchorId="2993A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1;visibility:visible">
            <v:imagedata r:id="rId14"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r w:rsidR="007522DE">
        <w:rPr>
          <w:rFonts w:ascii="Verdana" w:hAnsi="Verdana"/>
          <w:b/>
          <w:sz w:val="28"/>
          <w:szCs w:val="28"/>
        </w:rPr>
        <w:t>Application under M</w:t>
      </w:r>
      <w:r w:rsidR="005B1EB7">
        <w:rPr>
          <w:rFonts w:ascii="Verdana" w:hAnsi="Verdana"/>
          <w:b/>
          <w:sz w:val="28"/>
          <w:szCs w:val="28"/>
        </w:rPr>
        <w:t>I</w:t>
      </w:r>
      <w:r w:rsidR="007522DE">
        <w:rPr>
          <w:rFonts w:ascii="Verdana" w:hAnsi="Verdana"/>
          <w:b/>
          <w:sz w:val="28"/>
          <w:szCs w:val="28"/>
        </w:rPr>
        <w:t xml:space="preserve">FIDPRU </w:t>
      </w:r>
      <w:r w:rsidR="00D2290E">
        <w:rPr>
          <w:rFonts w:ascii="Verdana" w:hAnsi="Verdana"/>
          <w:b/>
          <w:sz w:val="28"/>
          <w:szCs w:val="28"/>
        </w:rPr>
        <w:t xml:space="preserve">3.3.3R </w:t>
      </w:r>
      <w:r w:rsidR="005E564B">
        <w:rPr>
          <w:rFonts w:ascii="Verdana" w:hAnsi="Verdana"/>
          <w:b/>
          <w:sz w:val="28"/>
          <w:szCs w:val="28"/>
        </w:rPr>
        <w:t xml:space="preserve">for permission to </w:t>
      </w:r>
      <w:r w:rsidR="00D2290E">
        <w:rPr>
          <w:rFonts w:ascii="Verdana" w:hAnsi="Verdana"/>
          <w:b/>
          <w:sz w:val="28"/>
          <w:szCs w:val="28"/>
        </w:rPr>
        <w:t>classify an issuance of capital instrument as common equity tier 1 (CET1) capital</w:t>
      </w:r>
    </w:p>
    <w:p w14:paraId="5C6BA8A9" w14:textId="77777777" w:rsidR="003A0536" w:rsidRDefault="003A0536" w:rsidP="00B446DF">
      <w:pPr>
        <w:ind w:left="-2410"/>
        <w:jc w:val="both"/>
        <w:rPr>
          <w:rFonts w:ascii="Verdana" w:hAnsi="Verdana"/>
          <w:b/>
          <w:sz w:val="24"/>
          <w:szCs w:val="24"/>
        </w:rPr>
      </w:pPr>
    </w:p>
    <w:p w14:paraId="293249EA"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73"/>
      </w:tblGrid>
      <w:tr w:rsidR="00B446DF" w:rsidRPr="00862EE7" w14:paraId="1C799DBD" w14:textId="77777777" w:rsidTr="0099685F">
        <w:trPr>
          <w:trHeight w:val="463"/>
        </w:trPr>
        <w:tc>
          <w:tcPr>
            <w:tcW w:w="10491" w:type="dxa"/>
            <w:shd w:val="clear" w:color="auto" w:fill="auto"/>
          </w:tcPr>
          <w:p w14:paraId="073BCECF" w14:textId="5537FCC1" w:rsidR="00B446DF" w:rsidRPr="00862EE7" w:rsidRDefault="00002AF3" w:rsidP="0099685F">
            <w:pPr>
              <w:ind w:left="176"/>
              <w:rPr>
                <w:rFonts w:ascii="Verdana" w:hAnsi="Verdana"/>
              </w:rPr>
            </w:pPr>
            <w:r w:rsidRPr="00862EE7">
              <w:rPr>
                <w:rFonts w:ascii="Verdana" w:hAnsi="Verdana"/>
              </w:rPr>
              <w:fldChar w:fldCharType="begin">
                <w:ffData>
                  <w:name w:val="Text1"/>
                  <w:enabled/>
                  <w:calcOnExit w:val="0"/>
                  <w:textInput/>
                </w:ffData>
              </w:fldChar>
            </w:r>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862EE7">
              <w:rPr>
                <w:rFonts w:ascii="Verdana" w:hAnsi="Verdana"/>
              </w:rPr>
              <w:fldChar w:fldCharType="end"/>
            </w:r>
          </w:p>
        </w:tc>
      </w:tr>
    </w:tbl>
    <w:p w14:paraId="00A51A87" w14:textId="77777777" w:rsidR="00F83EAA" w:rsidRPr="00842101" w:rsidRDefault="008E4ACA">
      <w:r>
        <w:rPr>
          <w:noProof/>
        </w:rPr>
        <w:pict w14:anchorId="2035DB44">
          <v:rect id="_x0000_s1148" style="position:absolute;margin-left:31.2pt;margin-top:244.5pt;width:531pt;height:571.6pt;z-index:251658240;mso-position-horizontal-relative:page;mso-position-vertical-relative:page">
            <v:textbox style="mso-next-textbox:#_x0000_s1148" inset="8mm,0,5mm,0">
              <w:txbxContent>
                <w:p w14:paraId="251443E1"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157CDA58" w14:textId="77777777" w:rsidR="00D222EB" w:rsidRPr="00D20E3F" w:rsidRDefault="007476E1" w:rsidP="00D20E3F">
                  <w:pPr>
                    <w:tabs>
                      <w:tab w:val="right" w:pos="4253"/>
                    </w:tabs>
                    <w:spacing w:line="240" w:lineRule="exact"/>
                    <w:ind w:left="142" w:right="312" w:hanging="284"/>
                    <w:rPr>
                      <w:rFonts w:ascii="Verdana" w:hAnsi="Verdana"/>
                    </w:rPr>
                  </w:pPr>
                  <w:r>
                    <w:rPr>
                      <w:rFonts w:ascii="Verdana" w:hAnsi="Verdana"/>
                    </w:rPr>
                    <w:tab/>
                  </w:r>
                  <w:r w:rsidR="005B1EB7" w:rsidRPr="005B1EB7">
                    <w:rPr>
                      <w:rFonts w:ascii="Verdana" w:hAnsi="Verdana"/>
                    </w:rPr>
                    <w:t xml:space="preserve">This </w:t>
                  </w:r>
                  <w:r w:rsidR="00D222EB">
                    <w:rPr>
                      <w:rFonts w:ascii="Verdana" w:hAnsi="Verdana"/>
                    </w:rPr>
                    <w:t xml:space="preserve">application </w:t>
                  </w:r>
                  <w:r w:rsidR="005B1EB7" w:rsidRPr="005B1EB7">
                    <w:rPr>
                      <w:rFonts w:ascii="Verdana" w:hAnsi="Verdana"/>
                    </w:rPr>
                    <w:t xml:space="preserve">form should be completed by </w:t>
                  </w:r>
                  <w:r w:rsidR="005859AE">
                    <w:rPr>
                      <w:rFonts w:ascii="Verdana" w:hAnsi="Verdana"/>
                    </w:rPr>
                    <w:t xml:space="preserve">MIFIDPRU investment </w:t>
                  </w:r>
                  <w:r w:rsidR="005B1EB7" w:rsidRPr="005B1EB7">
                    <w:rPr>
                      <w:rFonts w:ascii="Verdana" w:hAnsi="Verdana"/>
                    </w:rPr>
                    <w:t xml:space="preserve">firms </w:t>
                  </w:r>
                  <w:r w:rsidR="00D222EB">
                    <w:rPr>
                      <w:rFonts w:ascii="Verdana" w:hAnsi="Verdana"/>
                    </w:rPr>
                    <w:t>and</w:t>
                  </w:r>
                  <w:r w:rsidR="005859AE">
                    <w:rPr>
                      <w:rFonts w:ascii="Verdana" w:hAnsi="Verdana"/>
                    </w:rPr>
                    <w:t xml:space="preserve"> UK parent entities </w:t>
                  </w:r>
                  <w:r w:rsidR="005B1EB7" w:rsidRPr="005B1EB7">
                    <w:rPr>
                      <w:rFonts w:ascii="Verdana" w:hAnsi="Verdana"/>
                    </w:rPr>
                    <w:t xml:space="preserve">applying for permission under MIFIDPRU 3.3.3(1)R </w:t>
                  </w:r>
                  <w:r w:rsidR="005859AE" w:rsidRPr="005859AE">
                    <w:rPr>
                      <w:rFonts w:ascii="Verdana" w:hAnsi="Verdana"/>
                    </w:rPr>
                    <w:t>to classify an issuance of capital instrument as common equity tier 1 (CET1) capital</w:t>
                  </w:r>
                  <w:r w:rsidR="00D222EB" w:rsidRPr="00D20E3F">
                    <w:rPr>
                      <w:rFonts w:ascii="Verdana" w:hAnsi="Verdana"/>
                    </w:rPr>
                    <w:t xml:space="preserve">. </w:t>
                  </w:r>
                </w:p>
                <w:p w14:paraId="71D12002" w14:textId="77777777" w:rsidR="005B1EB7" w:rsidRDefault="005B1EB7" w:rsidP="00D20E3F">
                  <w:pPr>
                    <w:tabs>
                      <w:tab w:val="right" w:pos="4253"/>
                    </w:tabs>
                    <w:spacing w:line="240" w:lineRule="exact"/>
                    <w:ind w:left="142" w:right="312" w:hanging="284"/>
                    <w:rPr>
                      <w:rFonts w:ascii="Verdana" w:hAnsi="Verdana"/>
                    </w:rPr>
                  </w:pPr>
                </w:p>
                <w:p w14:paraId="7EC5D5D9" w14:textId="77777777" w:rsidR="00E112F7" w:rsidRDefault="005B1EB7" w:rsidP="00D20E3F">
                  <w:pPr>
                    <w:tabs>
                      <w:tab w:val="right" w:pos="4253"/>
                    </w:tabs>
                    <w:spacing w:line="240" w:lineRule="exact"/>
                    <w:ind w:left="142" w:right="312" w:hanging="284"/>
                    <w:rPr>
                      <w:rFonts w:ascii="Verdana" w:hAnsi="Verdana"/>
                    </w:rPr>
                  </w:pPr>
                  <w:r>
                    <w:rPr>
                      <w:rFonts w:ascii="Verdana" w:hAnsi="Verdana"/>
                    </w:rPr>
                    <w:tab/>
                  </w:r>
                  <w:r w:rsidR="00E112F7" w:rsidRPr="00E112F7">
                    <w:rPr>
                      <w:rFonts w:ascii="Verdana" w:hAnsi="Verdana"/>
                    </w:rPr>
                    <w:t>If the application concerns more than one firm in the investment firm group, please submit separate applications for each firm.</w:t>
                  </w:r>
                </w:p>
                <w:p w14:paraId="06A9E00B" w14:textId="77777777" w:rsidR="00E112F7" w:rsidRDefault="00E112F7" w:rsidP="00D20E3F">
                  <w:pPr>
                    <w:tabs>
                      <w:tab w:val="right" w:pos="4253"/>
                    </w:tabs>
                    <w:spacing w:line="240" w:lineRule="exact"/>
                    <w:ind w:left="142" w:right="312" w:hanging="284"/>
                    <w:rPr>
                      <w:rFonts w:ascii="Verdana" w:hAnsi="Verdana"/>
                    </w:rPr>
                  </w:pPr>
                </w:p>
                <w:p w14:paraId="3E04C35D" w14:textId="77777777" w:rsidR="00097B96" w:rsidRDefault="00E112F7" w:rsidP="00D20E3F">
                  <w:pPr>
                    <w:tabs>
                      <w:tab w:val="right" w:pos="4253"/>
                    </w:tabs>
                    <w:spacing w:line="240" w:lineRule="exact"/>
                    <w:ind w:left="142" w:right="312" w:hanging="284"/>
                    <w:rPr>
                      <w:rFonts w:ascii="Verdana" w:hAnsi="Verdana"/>
                    </w:rPr>
                  </w:pPr>
                  <w:r>
                    <w:rPr>
                      <w:rFonts w:ascii="Verdana" w:hAnsi="Verdana"/>
                    </w:rPr>
                    <w:tab/>
                  </w:r>
                  <w:r w:rsidRPr="00E112F7">
                    <w:rPr>
                      <w:rFonts w:ascii="Verdana" w:hAnsi="Verdana"/>
                    </w:rPr>
                    <w:t xml:space="preserve">For applications on </w:t>
                  </w:r>
                  <w:r w:rsidR="00D222EB">
                    <w:rPr>
                      <w:rFonts w:ascii="Verdana" w:hAnsi="Verdana"/>
                    </w:rPr>
                    <w:t xml:space="preserve">a </w:t>
                  </w:r>
                  <w:r w:rsidRPr="00E112F7">
                    <w:rPr>
                      <w:rFonts w:ascii="Verdana" w:hAnsi="Verdana"/>
                    </w:rPr>
                    <w:t xml:space="preserve">consolidated basis, references to </w:t>
                  </w:r>
                  <w:r w:rsidR="00D222EB">
                    <w:rPr>
                      <w:rFonts w:ascii="Verdana" w:hAnsi="Verdana"/>
                    </w:rPr>
                    <w:t xml:space="preserve">a </w:t>
                  </w:r>
                  <w:r w:rsidRPr="00E112F7">
                    <w:rPr>
                      <w:rFonts w:ascii="Verdana" w:hAnsi="Verdana"/>
                    </w:rPr>
                    <w:t>firm</w:t>
                  </w:r>
                  <w:r w:rsidR="00D222EB">
                    <w:rPr>
                      <w:rFonts w:ascii="Verdana" w:hAnsi="Verdana"/>
                    </w:rPr>
                    <w:t xml:space="preserve"> or an </w:t>
                  </w:r>
                  <w:r w:rsidRPr="00E112F7">
                    <w:rPr>
                      <w:rFonts w:ascii="Verdana" w:hAnsi="Verdana"/>
                    </w:rPr>
                    <w:t>institution should be interpreted as to a consolidated situation of the UK parent</w:t>
                  </w:r>
                  <w:r w:rsidR="00D222EB">
                    <w:rPr>
                      <w:rFonts w:ascii="Verdana" w:hAnsi="Verdana"/>
                    </w:rPr>
                    <w:t>.</w:t>
                  </w:r>
                </w:p>
                <w:p w14:paraId="57C7978F" w14:textId="77777777" w:rsidR="00D222EB" w:rsidRDefault="00D222EB" w:rsidP="00D20E3F">
                  <w:pPr>
                    <w:tabs>
                      <w:tab w:val="right" w:pos="4253"/>
                    </w:tabs>
                    <w:spacing w:line="240" w:lineRule="exact"/>
                    <w:ind w:left="142" w:right="312" w:hanging="284"/>
                    <w:rPr>
                      <w:rFonts w:ascii="Verdana" w:hAnsi="Verdana"/>
                    </w:rPr>
                  </w:pPr>
                </w:p>
                <w:p w14:paraId="1F0E1B73" w14:textId="77777777" w:rsidR="00D222EB" w:rsidRDefault="00D222EB" w:rsidP="00D20E3F">
                  <w:pPr>
                    <w:tabs>
                      <w:tab w:val="right" w:pos="4253"/>
                    </w:tabs>
                    <w:spacing w:line="240" w:lineRule="exact"/>
                    <w:ind w:left="142" w:right="312" w:hanging="284"/>
                    <w:rPr>
                      <w:rFonts w:ascii="Verdana" w:hAnsi="Verdana"/>
                    </w:rPr>
                  </w:pPr>
                  <w:r>
                    <w:rPr>
                      <w:rFonts w:ascii="Verdana" w:hAnsi="Verdana"/>
                    </w:rPr>
                    <w:tab/>
                  </w:r>
                  <w:r w:rsidRPr="00D222EB">
                    <w:rPr>
                      <w:rFonts w:ascii="Verdana" w:hAnsi="Verdana"/>
                    </w:rPr>
                    <w:t>You must ensure you include all relevant information in the form and provide supporting information if required. If you do not, your application will be delayed while you answer further questions from us.</w:t>
                  </w:r>
                </w:p>
                <w:p w14:paraId="7B3FBDBA" w14:textId="77777777" w:rsidR="00D222EB" w:rsidRDefault="00D222EB" w:rsidP="00D222EB">
                  <w:pPr>
                    <w:tabs>
                      <w:tab w:val="right" w:pos="4253"/>
                    </w:tabs>
                    <w:spacing w:line="240" w:lineRule="exact"/>
                    <w:ind w:left="142" w:right="312" w:hanging="284"/>
                    <w:rPr>
                      <w:rFonts w:ascii="Verdana" w:hAnsi="Verdana"/>
                    </w:rPr>
                  </w:pPr>
                  <w:bookmarkStart w:id="0" w:name="_Hlk77578415"/>
                </w:p>
                <w:p w14:paraId="575E7630" w14:textId="77777777" w:rsidR="00D222EB" w:rsidRDefault="00D222EB" w:rsidP="00D222EB">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5DE905BF" w14:textId="77777777" w:rsidR="00D222EB" w:rsidRDefault="00D222EB" w:rsidP="00D222EB">
                  <w:pPr>
                    <w:tabs>
                      <w:tab w:val="right" w:pos="4253"/>
                    </w:tabs>
                    <w:spacing w:line="240" w:lineRule="exact"/>
                    <w:ind w:left="142" w:right="312" w:hanging="284"/>
                    <w:rPr>
                      <w:rFonts w:ascii="Verdana" w:hAnsi="Verdana"/>
                    </w:rPr>
                  </w:pPr>
                </w:p>
                <w:p w14:paraId="4F8E6952" w14:textId="77777777" w:rsidR="00D20E3F" w:rsidRPr="00811848" w:rsidRDefault="00D20E3F" w:rsidP="00D20E3F">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proofErr w:type="gramStart"/>
                  <w:r w:rsidRPr="00DD694F">
                    <w:rPr>
                      <w:rFonts w:ascii="Verdana" w:hAnsi="Verdana"/>
                    </w:rPr>
                    <w:t>FCA :</w:t>
                  </w:r>
                  <w:proofErr w:type="gramEnd"/>
                  <w:r w:rsidRPr="00DD694F">
                    <w:rPr>
                      <w:rFonts w:ascii="Verdana" w:hAnsi="Verdana"/>
                    </w:rPr>
                    <w:t xml:space="preserve"> </w:t>
                  </w:r>
                  <w:hyperlink r:id="rId15" w:history="1">
                    <w:r w:rsidRPr="00274A7A">
                      <w:rPr>
                        <w:rStyle w:val="Hyperlink"/>
                        <w:rFonts w:ascii="Verdana" w:hAnsi="Verdana"/>
                      </w:rPr>
                      <w:t>www.fca.org.uk/privacy</w:t>
                    </w:r>
                  </w:hyperlink>
                  <w:r>
                    <w:rPr>
                      <w:rFonts w:ascii="Verdana" w:hAnsi="Verdana"/>
                    </w:rPr>
                    <w:t xml:space="preserve">   </w:t>
                  </w:r>
                </w:p>
                <w:bookmarkEnd w:id="0"/>
                <w:p w14:paraId="256B4F13" w14:textId="77777777" w:rsidR="00D222EB" w:rsidRPr="00443DF6" w:rsidRDefault="00D222EB" w:rsidP="007476E1">
                  <w:pPr>
                    <w:tabs>
                      <w:tab w:val="right" w:pos="4253"/>
                    </w:tabs>
                    <w:spacing w:line="240" w:lineRule="exact"/>
                    <w:ind w:left="284" w:right="312" w:hanging="284"/>
                    <w:rPr>
                      <w:rFonts w:ascii="Verdana" w:hAnsi="Verdana"/>
                      <w:b/>
                    </w:rPr>
                  </w:pPr>
                </w:p>
                <w:p w14:paraId="20C54F0A" w14:textId="77777777" w:rsidR="00097B96" w:rsidRPr="00842101" w:rsidRDefault="00097B96" w:rsidP="00E40B8F">
                  <w:pPr>
                    <w:ind w:left="142"/>
                  </w:pPr>
                </w:p>
              </w:txbxContent>
            </v:textbox>
            <w10:wrap anchorx="page" anchory="page"/>
          </v:rect>
        </w:pict>
      </w:r>
    </w:p>
    <w:p w14:paraId="58F76FBA" w14:textId="77777777" w:rsidR="00F83EAA" w:rsidRPr="00842101" w:rsidRDefault="00F83EAA" w:rsidP="00F83EAA"/>
    <w:p w14:paraId="278625BD" w14:textId="77777777" w:rsidR="00F83EAA" w:rsidRPr="00842101" w:rsidRDefault="00F83EAA" w:rsidP="00F83EAA"/>
    <w:p w14:paraId="60628991" w14:textId="77777777" w:rsidR="00F83EAA" w:rsidRPr="00842101" w:rsidRDefault="00F83EAA" w:rsidP="00F83EAA"/>
    <w:p w14:paraId="3F446B93" w14:textId="77777777" w:rsidR="00F83EAA" w:rsidRPr="00842101" w:rsidRDefault="00F83EAA" w:rsidP="00F83EAA"/>
    <w:p w14:paraId="3EDFAF75" w14:textId="77777777" w:rsidR="00F83EAA" w:rsidRPr="00842101" w:rsidRDefault="00F83EAA" w:rsidP="00675C5C">
      <w:pPr>
        <w:ind w:left="-1701"/>
      </w:pPr>
    </w:p>
    <w:p w14:paraId="265AF92B" w14:textId="77777777" w:rsidR="00F83EAA" w:rsidRPr="00842101" w:rsidRDefault="00F83EAA" w:rsidP="00F83EAA"/>
    <w:p w14:paraId="0B159C0C" w14:textId="77777777" w:rsidR="00F83EAA" w:rsidRPr="00842101" w:rsidRDefault="00F83EAA" w:rsidP="00F83EAA"/>
    <w:p w14:paraId="57103F64" w14:textId="77777777" w:rsidR="00F83EAA" w:rsidRPr="00842101" w:rsidRDefault="00F83EAA" w:rsidP="00F83EAA"/>
    <w:p w14:paraId="255CC0A9" w14:textId="77777777" w:rsidR="00F83EAA" w:rsidRPr="00842101" w:rsidRDefault="00F83EAA" w:rsidP="00F83EAA"/>
    <w:p w14:paraId="7257EB5C" w14:textId="77777777" w:rsidR="00F83EAA" w:rsidRPr="00842101" w:rsidRDefault="00F83EAA" w:rsidP="00F83EAA"/>
    <w:p w14:paraId="31ED0BB4" w14:textId="77777777" w:rsidR="00F83EAA" w:rsidRPr="00842101" w:rsidRDefault="00F83EAA" w:rsidP="00F83EAA"/>
    <w:p w14:paraId="6DE6C5CA" w14:textId="77777777" w:rsidR="00F83EAA" w:rsidRPr="00842101" w:rsidRDefault="00F83EAA" w:rsidP="00F83EAA"/>
    <w:p w14:paraId="493EC893" w14:textId="77777777" w:rsidR="00F83EAA" w:rsidRPr="00842101" w:rsidRDefault="00F83EAA" w:rsidP="00F83EAA"/>
    <w:p w14:paraId="08A1825A" w14:textId="77777777" w:rsidR="00F83EAA" w:rsidRPr="00842101" w:rsidRDefault="00F83EAA" w:rsidP="00F83EAA"/>
    <w:p w14:paraId="37126D18" w14:textId="77777777" w:rsidR="00F83EAA" w:rsidRPr="00842101" w:rsidRDefault="00F83EAA" w:rsidP="00F83EAA"/>
    <w:p w14:paraId="58F0069C" w14:textId="77777777" w:rsidR="00F83EAA" w:rsidRPr="00842101" w:rsidRDefault="00F83EAA" w:rsidP="00F83EAA"/>
    <w:p w14:paraId="0B3A8729" w14:textId="77777777" w:rsidR="00F83EAA" w:rsidRPr="00842101" w:rsidRDefault="00F83EAA" w:rsidP="00F83EAA"/>
    <w:p w14:paraId="5F5FE65E"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1E9CAEE4" w14:textId="77777777" w:rsidTr="00047382">
        <w:trPr>
          <w:trHeight w:val="1701"/>
        </w:trPr>
        <w:tc>
          <w:tcPr>
            <w:tcW w:w="2268" w:type="dxa"/>
            <w:shd w:val="clear" w:color="auto" w:fill="701B45"/>
          </w:tcPr>
          <w:p w14:paraId="7D158002"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CDCC117"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7BE86CA3" w14:textId="77777777" w:rsidR="000442C8" w:rsidRPr="00443DF6" w:rsidRDefault="000442C8" w:rsidP="005527F4">
            <w:pPr>
              <w:tabs>
                <w:tab w:val="left" w:pos="7350"/>
              </w:tabs>
              <w:spacing w:before="120" w:after="284"/>
              <w:ind w:right="175"/>
              <w:rPr>
                <w:rFonts w:ascii="Verdana" w:hAnsi="Verdana"/>
              </w:rPr>
            </w:pPr>
          </w:p>
        </w:tc>
      </w:tr>
    </w:tbl>
    <w:p w14:paraId="36DC2B61" w14:textId="77777777" w:rsidR="00C2280A" w:rsidRDefault="00C2280A" w:rsidP="00C2280A">
      <w:pPr>
        <w:pStyle w:val="Question"/>
        <w:keepNext/>
        <w:rPr>
          <w:rFonts w:ascii="Verdana" w:hAnsi="Verdana"/>
          <w:b/>
        </w:rPr>
      </w:pPr>
      <w:r>
        <w:rPr>
          <w:rFonts w:ascii="Verdana" w:hAnsi="Verdana"/>
          <w:b/>
        </w:rPr>
        <w:tab/>
        <w:t>1.1</w:t>
      </w:r>
      <w:r w:rsidRPr="00443DF6">
        <w:rPr>
          <w:rFonts w:ascii="Verdana" w:hAnsi="Verdana"/>
          <w:b/>
        </w:rPr>
        <w:tab/>
      </w:r>
      <w:r>
        <w:rPr>
          <w:rFonts w:ascii="Verdana" w:hAnsi="Verdana"/>
          <w:b/>
        </w:rPr>
        <w:t>Details of Senior Manager responsible for this application</w:t>
      </w:r>
    </w:p>
    <w:p w14:paraId="3778F4E4" w14:textId="79AC84DE" w:rsidR="00C2280A" w:rsidRPr="008B3C75" w:rsidRDefault="00C2280A" w:rsidP="00C2280A">
      <w:pPr>
        <w:pStyle w:val="QsyesnoCharChar"/>
        <w:keepNext/>
        <w:rPr>
          <w:rFonts w:ascii="Verdana" w:hAnsi="Verdana"/>
        </w:rPr>
      </w:pPr>
      <w:r>
        <w:rPr>
          <w:rFonts w:ascii="Verdana" w:hAnsi="Verdana"/>
        </w:rPr>
        <w:t>If the application is being made in respect of a MIFID</w:t>
      </w:r>
      <w:r w:rsidR="000068A8">
        <w:rPr>
          <w:rFonts w:ascii="Verdana" w:hAnsi="Verdana"/>
        </w:rPr>
        <w:t>PRU</w:t>
      </w:r>
      <w:r>
        <w:rPr>
          <w:rFonts w:ascii="Verdana" w:hAnsi="Verdana"/>
        </w:rPr>
        <w:t xml:space="preserve"> investment firm or another SMCR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2280A" w:rsidRPr="00862EE7" w14:paraId="572EC24E"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657A1B3" w14:textId="77777777" w:rsidR="00C2280A" w:rsidRPr="00862EE7" w:rsidRDefault="00C2280A" w:rsidP="008E4ACA">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5AE325D2" w14:textId="77777777" w:rsidR="00C2280A" w:rsidRPr="00862EE7" w:rsidRDefault="00C2280A" w:rsidP="008E4ACA">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37E0FC15" w14:textId="77777777" w:rsidR="00C2280A" w:rsidRPr="00862EE7" w:rsidRDefault="00C2280A" w:rsidP="00C228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2280A" w:rsidRPr="00862EE7" w14:paraId="61BAA294"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3391FC" w14:textId="77777777" w:rsidR="00C2280A" w:rsidRPr="00862EE7" w:rsidRDefault="00C2280A" w:rsidP="008E4ACA">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4E746104" w14:textId="77777777" w:rsidR="00C2280A" w:rsidRPr="00862EE7" w:rsidRDefault="00C2280A" w:rsidP="008E4ACA">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FFBF695" w14:textId="77777777" w:rsidR="00C2280A" w:rsidRPr="00862EE7" w:rsidRDefault="00C2280A" w:rsidP="00C228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2280A" w:rsidRPr="00862EE7" w14:paraId="00927468"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02FA4C6" w14:textId="77777777" w:rsidR="00C2280A" w:rsidRPr="00862EE7" w:rsidRDefault="00C2280A" w:rsidP="008E4ACA">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0ED0EFF6" w14:textId="77777777" w:rsidR="00C2280A" w:rsidRPr="00862EE7" w:rsidRDefault="00C2280A" w:rsidP="008E4ACA">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D886A90" w14:textId="77777777" w:rsidR="00C2280A" w:rsidRPr="00862EE7" w:rsidRDefault="00C2280A" w:rsidP="00C228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2280A" w:rsidRPr="00862EE7" w14:paraId="5F96E2C6" w14:textId="77777777" w:rsidTr="008E4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6CD34E" w14:textId="77777777" w:rsidR="00C2280A" w:rsidRPr="00862EE7" w:rsidRDefault="00C2280A" w:rsidP="008E4ACA">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AF33721" w14:textId="77777777" w:rsidR="00C2280A" w:rsidRPr="00862EE7" w:rsidRDefault="00C2280A" w:rsidP="008E4ACA">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3A86B473" w14:textId="77777777" w:rsidR="00C2280A" w:rsidRPr="00862EE7" w:rsidRDefault="00C2280A" w:rsidP="00C2280A">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2280A" w:rsidRPr="00862EE7" w14:paraId="2145BA6A" w14:textId="77777777" w:rsidTr="008E4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CC5768B" w14:textId="77777777" w:rsidR="00C2280A" w:rsidRPr="00862EE7" w:rsidRDefault="00C2280A" w:rsidP="008E4ACA">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1E619960" w14:textId="77777777" w:rsidR="00C2280A" w:rsidRPr="00862EE7" w:rsidRDefault="00C2280A" w:rsidP="008E4ACA">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0B0D3360" w14:textId="77777777" w:rsidR="00C2280A" w:rsidRPr="00862EE7" w:rsidRDefault="00C2280A" w:rsidP="00C2280A">
      <w:pPr>
        <w:keepNext/>
        <w:spacing w:before="0" w:line="240" w:lineRule="auto"/>
        <w:rPr>
          <w:rFonts w:ascii="Verdana" w:hAnsi="Verdana"/>
          <w:sz w:val="4"/>
        </w:rPr>
      </w:pPr>
    </w:p>
    <w:p w14:paraId="26BCAFD7" w14:textId="77777777" w:rsidR="000442C8" w:rsidRPr="00862EE7" w:rsidRDefault="000442C8" w:rsidP="0058743B">
      <w:pPr>
        <w:keepNext/>
        <w:spacing w:before="0" w:line="240" w:lineRule="auto"/>
        <w:rPr>
          <w:rFonts w:ascii="Verdana" w:hAnsi="Verdana"/>
          <w:sz w:val="4"/>
        </w:rPr>
      </w:pPr>
    </w:p>
    <w:p w14:paraId="2FB283AD" w14:textId="77777777" w:rsidR="0023071E" w:rsidRPr="00842101" w:rsidRDefault="0023071E" w:rsidP="0058743B">
      <w:pPr>
        <w:pStyle w:val="Qsheading1"/>
        <w:outlineLvl w:val="0"/>
        <w:sectPr w:rsidR="0023071E" w:rsidRPr="00842101" w:rsidSect="006925E2">
          <w:headerReference w:type="default" r:id="rId16"/>
          <w:footerReference w:type="default" r:id="rId17"/>
          <w:headerReference w:type="first" r:id="rId18"/>
          <w:footerReference w:type="first" r:id="rId19"/>
          <w:type w:val="continuous"/>
          <w:pgSz w:w="11901" w:h="16846" w:code="9"/>
          <w:pgMar w:top="1701" w:right="1128"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9D7AE4E" w14:textId="77777777" w:rsidTr="00047382">
        <w:trPr>
          <w:trHeight w:val="1847"/>
        </w:trPr>
        <w:tc>
          <w:tcPr>
            <w:tcW w:w="2268" w:type="dxa"/>
            <w:shd w:val="clear" w:color="auto" w:fill="701B45"/>
          </w:tcPr>
          <w:p w14:paraId="6E726301" w14:textId="77777777" w:rsidR="000442C8" w:rsidRPr="007701DA" w:rsidRDefault="000442C8">
            <w:pPr>
              <w:pStyle w:val="Sectionnumber"/>
            </w:pPr>
            <w:r w:rsidRPr="007701DA">
              <w:lastRenderedPageBreak/>
              <w:t>2</w:t>
            </w:r>
          </w:p>
        </w:tc>
        <w:tc>
          <w:tcPr>
            <w:tcW w:w="7825" w:type="dxa"/>
            <w:shd w:val="clear" w:color="auto" w:fill="701B45"/>
          </w:tcPr>
          <w:p w14:paraId="354D116E"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About the </w:t>
            </w:r>
            <w:r w:rsidR="00E4735C">
              <w:rPr>
                <w:rFonts w:ascii="Verdana" w:hAnsi="Verdana"/>
                <w:sz w:val="28"/>
                <w:szCs w:val="28"/>
              </w:rPr>
              <w:t>capital instruments being issued</w:t>
            </w:r>
          </w:p>
          <w:p w14:paraId="68A26A5F" w14:textId="77777777" w:rsidR="000442C8" w:rsidRPr="00443DF6" w:rsidRDefault="000442C8" w:rsidP="009A60B7">
            <w:pPr>
              <w:spacing w:before="120" w:after="284"/>
              <w:ind w:right="601"/>
              <w:rPr>
                <w:rFonts w:ascii="Verdana" w:hAnsi="Verdana"/>
              </w:rPr>
            </w:pPr>
          </w:p>
        </w:tc>
      </w:tr>
    </w:tbl>
    <w:p w14:paraId="2246C07A" w14:textId="77777777" w:rsidR="00504F64" w:rsidRDefault="00504F64" w:rsidP="009104F3">
      <w:pPr>
        <w:pStyle w:val="Question"/>
        <w:keepNext/>
        <w:rPr>
          <w:rFonts w:ascii="Verdana" w:hAnsi="Verdana"/>
          <w:b/>
        </w:rPr>
      </w:pPr>
    </w:p>
    <w:p w14:paraId="0F52CF81" w14:textId="77777777" w:rsidR="000442C8" w:rsidRDefault="005E564B" w:rsidP="007476E1">
      <w:pPr>
        <w:pStyle w:val="Question"/>
        <w:keepNext/>
        <w:rPr>
          <w:rFonts w:ascii="Verdana" w:hAnsi="Verdana"/>
          <w:b/>
        </w:rPr>
      </w:pPr>
      <w:r>
        <w:rPr>
          <w:rFonts w:ascii="Verdana" w:hAnsi="Verdana"/>
          <w:b/>
        </w:rPr>
        <w:tab/>
      </w:r>
      <w:r w:rsidR="00265DEF">
        <w:rPr>
          <w:rFonts w:ascii="Verdana" w:hAnsi="Verdana"/>
          <w:b/>
        </w:rPr>
        <w:t>2.</w:t>
      </w:r>
      <w:r w:rsidR="007476E1">
        <w:rPr>
          <w:rFonts w:ascii="Verdana" w:hAnsi="Verdana"/>
          <w:b/>
        </w:rPr>
        <w:t>1</w:t>
      </w:r>
      <w:r w:rsidR="004E12C4">
        <w:rPr>
          <w:rFonts w:ascii="Verdana" w:hAnsi="Verdana"/>
          <w:b/>
        </w:rPr>
        <w:tab/>
      </w:r>
      <w:r w:rsidR="007476E1">
        <w:rPr>
          <w:rFonts w:ascii="Verdana" w:hAnsi="Verdana"/>
          <w:b/>
        </w:rPr>
        <w:t xml:space="preserve">Please </w:t>
      </w:r>
      <w:r w:rsidR="00E4735C" w:rsidRPr="00E4735C">
        <w:rPr>
          <w:rFonts w:ascii="Verdana" w:hAnsi="Verdana"/>
          <w:b/>
        </w:rPr>
        <w:t>confirm which of the following the applicant firm is</w:t>
      </w:r>
      <w:r w:rsidR="00E112F7">
        <w:rPr>
          <w:rFonts w:ascii="Verdana" w:hAnsi="Verdana"/>
          <w:b/>
        </w:rPr>
        <w:t>:</w:t>
      </w:r>
    </w:p>
    <w:p w14:paraId="76EF50C4" w14:textId="77777777" w:rsidR="007522DE" w:rsidRPr="00443DF6" w:rsidRDefault="007522DE" w:rsidP="007522DE">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00E4735C" w:rsidRPr="00E4735C">
        <w:rPr>
          <w:rFonts w:ascii="Verdana" w:hAnsi="Verdana"/>
        </w:rPr>
        <w:t>MIFIDPRU investment firm that is not a consolidating UK parent entity or a GCT parent undertaking</w:t>
      </w:r>
    </w:p>
    <w:p w14:paraId="55FA654A" w14:textId="77777777" w:rsidR="007476E1" w:rsidRPr="00443DF6" w:rsidRDefault="007476E1" w:rsidP="007476E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00E4735C" w:rsidRPr="00E4735C">
        <w:rPr>
          <w:rFonts w:ascii="Verdana" w:hAnsi="Verdana"/>
        </w:rPr>
        <w:t>MIFIDPRU investment firm that is a consolidating UK parent entity</w:t>
      </w:r>
    </w:p>
    <w:p w14:paraId="020CABEB" w14:textId="77777777" w:rsidR="007476E1" w:rsidRDefault="007476E1" w:rsidP="007476E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00E4735C" w:rsidRPr="00E4735C">
        <w:rPr>
          <w:rFonts w:ascii="Verdana" w:hAnsi="Verdana"/>
        </w:rPr>
        <w:t>MIFIDPRU investment firm that is a GCT parent undertaking</w:t>
      </w:r>
    </w:p>
    <w:p w14:paraId="3B2BF64B" w14:textId="77777777" w:rsidR="00E4735C" w:rsidRDefault="00E4735C" w:rsidP="007476E1">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Pr="00E4735C">
        <w:rPr>
          <w:rFonts w:ascii="Verdana" w:hAnsi="Verdana"/>
        </w:rPr>
        <w:t>Consolidating UK parent entity (other than a MIFIDPRU investment firm)</w:t>
      </w:r>
    </w:p>
    <w:p w14:paraId="20945D43" w14:textId="77777777" w:rsidR="007476E1" w:rsidRPr="00443DF6" w:rsidRDefault="00E4735C" w:rsidP="00144853">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Pr="00E4735C">
        <w:rPr>
          <w:rFonts w:ascii="Verdana" w:hAnsi="Verdana"/>
        </w:rPr>
        <w:t>GCT parent undertaking (other than a MIFIDPRU investment firm)</w:t>
      </w:r>
    </w:p>
    <w:p w14:paraId="76CA9ECA" w14:textId="77777777" w:rsidR="005E564B" w:rsidRDefault="005E564B" w:rsidP="005E564B">
      <w:pPr>
        <w:pStyle w:val="Question"/>
        <w:keepNext/>
        <w:rPr>
          <w:rFonts w:ascii="Verdana" w:hAnsi="Verdana"/>
          <w:b/>
        </w:rPr>
      </w:pPr>
      <w:r w:rsidRPr="005E564B">
        <w:rPr>
          <w:rFonts w:ascii="Verdana" w:hAnsi="Verdana"/>
          <w:b/>
        </w:rPr>
        <w:tab/>
        <w:t>2.</w:t>
      </w:r>
      <w:r w:rsidR="007476E1">
        <w:rPr>
          <w:rFonts w:ascii="Verdana" w:hAnsi="Verdana"/>
          <w:b/>
        </w:rPr>
        <w:t>2</w:t>
      </w:r>
      <w:r w:rsidR="007476E1">
        <w:rPr>
          <w:rFonts w:ascii="Verdana" w:hAnsi="Verdana"/>
          <w:b/>
        </w:rPr>
        <w:tab/>
        <w:t xml:space="preserve">For </w:t>
      </w:r>
      <w:r w:rsidR="007476E1" w:rsidRPr="007476E1">
        <w:rPr>
          <w:rFonts w:ascii="Verdana" w:hAnsi="Verdana"/>
          <w:b/>
        </w:rPr>
        <w:t>the instrument you would like to classify as CET 1 capital, please provide the following information:</w:t>
      </w:r>
    </w:p>
    <w:p w14:paraId="563AA836" w14:textId="77777777" w:rsidR="007476E1" w:rsidRPr="00443DF6" w:rsidRDefault="007476E1" w:rsidP="007476E1">
      <w:pPr>
        <w:pStyle w:val="Answer"/>
        <w:keepNext/>
        <w:rPr>
          <w:rFonts w:ascii="Verdana" w:hAnsi="Verdana"/>
        </w:rPr>
      </w:pPr>
      <w:r>
        <w:rPr>
          <w:rFonts w:ascii="Verdana" w:hAnsi="Verdana"/>
        </w:rPr>
        <w:t>Type of instrument (</w:t>
      </w:r>
      <w:proofErr w:type="gramStart"/>
      <w:r>
        <w:rPr>
          <w:rFonts w:ascii="Verdana" w:hAnsi="Verdana"/>
        </w:rPr>
        <w:t>eg</w:t>
      </w:r>
      <w:proofErr w:type="gramEnd"/>
      <w:r>
        <w:rPr>
          <w:rFonts w:ascii="Verdana" w:hAnsi="Verdana"/>
        </w:rPr>
        <w:t xml:space="preserve"> ordinary shares, partnership capital</w:t>
      </w:r>
      <w:r w:rsidR="00E112F7">
        <w:rPr>
          <w:rFonts w:ascii="Verdana" w:hAnsi="Verdana"/>
        </w:rPr>
        <w:t>, etc.</w:t>
      </w:r>
      <w:r>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76E1" w:rsidRPr="00862EE7" w14:paraId="6B22264E" w14:textId="77777777" w:rsidTr="00C00611">
        <w:trPr>
          <w:trHeight w:val="475"/>
        </w:trPr>
        <w:tc>
          <w:tcPr>
            <w:tcW w:w="7088" w:type="dxa"/>
          </w:tcPr>
          <w:p w14:paraId="23541123"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18248030" w14:textId="77777777" w:rsidR="007476E1" w:rsidRDefault="007476E1" w:rsidP="007476E1">
      <w:pPr>
        <w:pStyle w:val="Answer"/>
        <w:keepNext/>
        <w:rPr>
          <w:rFonts w:ascii="Verdana" w:hAnsi="Verdana"/>
        </w:rPr>
      </w:pPr>
    </w:p>
    <w:p w14:paraId="4B568309" w14:textId="77777777" w:rsidR="007476E1" w:rsidRPr="00443DF6" w:rsidRDefault="007476E1" w:rsidP="007476E1">
      <w:pPr>
        <w:pStyle w:val="Answer"/>
        <w:keepNext/>
        <w:rPr>
          <w:rFonts w:ascii="Verdana" w:hAnsi="Verdana"/>
        </w:rPr>
      </w:pPr>
      <w:r w:rsidRPr="007476E1">
        <w:rPr>
          <w:rFonts w:ascii="Verdana" w:hAnsi="Verdana"/>
        </w:rPr>
        <w:t>If there is more than one class of the instrument, please list the different instrument classes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76E1" w:rsidRPr="00862EE7" w14:paraId="4C52D2A6" w14:textId="77777777" w:rsidTr="007476E1">
        <w:trPr>
          <w:trHeight w:val="735"/>
        </w:trPr>
        <w:tc>
          <w:tcPr>
            <w:tcW w:w="7088" w:type="dxa"/>
          </w:tcPr>
          <w:p w14:paraId="50EDC2B1"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067F5AF" w14:textId="77777777" w:rsidR="007476E1" w:rsidRDefault="007476E1" w:rsidP="007476E1">
      <w:pPr>
        <w:pStyle w:val="Answer"/>
        <w:keepNext/>
        <w:rPr>
          <w:rFonts w:ascii="Verdana" w:hAnsi="Verdana"/>
        </w:rPr>
      </w:pPr>
    </w:p>
    <w:p w14:paraId="4F490A13" w14:textId="77777777" w:rsidR="007476E1" w:rsidRDefault="007476E1" w:rsidP="007476E1">
      <w:pPr>
        <w:pStyle w:val="Answer"/>
        <w:keepNext/>
        <w:rPr>
          <w:rFonts w:ascii="Verdana" w:hAnsi="Verdana"/>
        </w:rPr>
      </w:pPr>
      <w:r w:rsidRPr="007476E1">
        <w:rPr>
          <w:rFonts w:ascii="Verdana" w:hAnsi="Verdana"/>
        </w:rPr>
        <w:t>Total number of shares/units of instrument that have been issued or will be issued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476E1" w:rsidRPr="00862EE7" w14:paraId="6568C130" w14:textId="77777777" w:rsidTr="00C00611">
        <w:trPr>
          <w:trHeight w:val="475"/>
        </w:trPr>
        <w:tc>
          <w:tcPr>
            <w:tcW w:w="7088" w:type="dxa"/>
          </w:tcPr>
          <w:p w14:paraId="40144A07"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EC835AF" w14:textId="77777777" w:rsidR="007476E1" w:rsidRDefault="007476E1" w:rsidP="007476E1">
      <w:pPr>
        <w:pStyle w:val="Answer"/>
        <w:keepNext/>
        <w:rPr>
          <w:rFonts w:ascii="Verdana" w:hAnsi="Verdana"/>
        </w:rPr>
      </w:pPr>
    </w:p>
    <w:p w14:paraId="61C08650" w14:textId="77777777" w:rsidR="007476E1" w:rsidRDefault="007476E1" w:rsidP="007476E1">
      <w:pPr>
        <w:pStyle w:val="Answer"/>
        <w:keepNext/>
        <w:rPr>
          <w:rFonts w:ascii="Verdana" w:hAnsi="Verdana"/>
        </w:rPr>
      </w:pPr>
      <w:r>
        <w:rPr>
          <w:rFonts w:ascii="Verdana" w:hAnsi="Verdana"/>
        </w:rPr>
        <w:t>Nominal value per share/unit of instrument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tblGrid>
      <w:tr w:rsidR="007476E1" w:rsidRPr="00862EE7" w14:paraId="04717128" w14:textId="77777777" w:rsidTr="007476E1">
        <w:trPr>
          <w:trHeight w:val="475"/>
        </w:trPr>
        <w:tc>
          <w:tcPr>
            <w:tcW w:w="2552" w:type="dxa"/>
          </w:tcPr>
          <w:p w14:paraId="31EDA220"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F0EC29B" w14:textId="77777777" w:rsidR="007476E1" w:rsidRDefault="00D95B9C" w:rsidP="007476E1">
      <w:pPr>
        <w:pStyle w:val="Answer"/>
        <w:keepNext/>
        <w:rPr>
          <w:rFonts w:ascii="Verdana" w:hAnsi="Verdana"/>
          <w:b/>
        </w:rPr>
      </w:pPr>
      <w:r w:rsidRPr="00443DF6">
        <w:rPr>
          <w:rFonts w:ascii="Verdana" w:hAnsi="Verdana"/>
          <w:b/>
        </w:rPr>
        <w:tab/>
      </w:r>
    </w:p>
    <w:p w14:paraId="444C7B31" w14:textId="77777777" w:rsidR="007476E1" w:rsidRDefault="007476E1" w:rsidP="007476E1">
      <w:pPr>
        <w:pStyle w:val="Answer"/>
        <w:keepNext/>
        <w:rPr>
          <w:rFonts w:ascii="Verdana" w:hAnsi="Verdana"/>
        </w:rPr>
      </w:pPr>
      <w:r>
        <w:rPr>
          <w:rFonts w:ascii="Verdana" w:hAnsi="Verdana"/>
        </w:rPr>
        <w:t>Share premium per share, if applicable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tblGrid>
      <w:tr w:rsidR="007476E1" w:rsidRPr="00862EE7" w14:paraId="4BA5905F" w14:textId="77777777" w:rsidTr="00C00611">
        <w:trPr>
          <w:trHeight w:val="475"/>
        </w:trPr>
        <w:tc>
          <w:tcPr>
            <w:tcW w:w="2552" w:type="dxa"/>
          </w:tcPr>
          <w:p w14:paraId="451EDA32"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9A06F0B" w14:textId="77777777" w:rsidR="007476E1" w:rsidRDefault="007476E1" w:rsidP="007476E1">
      <w:pPr>
        <w:pStyle w:val="Answer"/>
        <w:keepNext/>
        <w:rPr>
          <w:rFonts w:ascii="Verdana" w:hAnsi="Verdana"/>
        </w:rPr>
      </w:pPr>
    </w:p>
    <w:p w14:paraId="0AD0CD5E" w14:textId="77777777" w:rsidR="007476E1" w:rsidRDefault="007476E1" w:rsidP="007476E1">
      <w:pPr>
        <w:pStyle w:val="Answer"/>
        <w:keepNext/>
        <w:rPr>
          <w:rFonts w:ascii="Verdana" w:hAnsi="Verdana"/>
        </w:rPr>
      </w:pPr>
      <w:r>
        <w:rPr>
          <w:rFonts w:ascii="Verdana" w:hAnsi="Verdana"/>
        </w:rPr>
        <w:t>Total amount of capital being raised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tblGrid>
      <w:tr w:rsidR="007476E1" w:rsidRPr="00862EE7" w14:paraId="0907E2E2" w14:textId="77777777" w:rsidTr="00C00611">
        <w:trPr>
          <w:trHeight w:val="475"/>
        </w:trPr>
        <w:tc>
          <w:tcPr>
            <w:tcW w:w="2552" w:type="dxa"/>
          </w:tcPr>
          <w:p w14:paraId="076356DC" w14:textId="77777777" w:rsidR="007476E1" w:rsidRPr="00862EE7" w:rsidRDefault="007476E1" w:rsidP="00C00611">
            <w:pPr>
              <w:pStyle w:val="Qsanswer"/>
              <w:tabs>
                <w:tab w:val="clear" w:pos="1418"/>
                <w:tab w:val="clear" w:pos="2552"/>
                <w:tab w:val="left" w:pos="2730"/>
              </w:tabs>
              <w:spacing w:before="40" w:after="0" w:line="240" w:lineRule="exact"/>
              <w:ind w:right="57"/>
              <w:rPr>
                <w:rFonts w:ascii="Verdana" w:hAnsi="Verdana"/>
                <w:color w:val="auto"/>
              </w:rPr>
            </w:pPr>
            <w:r>
              <w:rPr>
                <w:rFonts w:ascii="Verdana" w:hAnsi="Verdana"/>
                <w:color w:val="auto"/>
              </w:rPr>
              <w:t xml:space="preserve">£ </w:t>
            </w: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E97AAFB" w14:textId="77777777" w:rsidR="007476E1" w:rsidRDefault="007476E1" w:rsidP="007476E1">
      <w:pPr>
        <w:pStyle w:val="Answer"/>
        <w:keepNext/>
        <w:rPr>
          <w:rFonts w:ascii="Verdana" w:hAnsi="Verdana"/>
        </w:rPr>
      </w:pPr>
      <w:r>
        <w:rPr>
          <w:rFonts w:ascii="Verdana" w:hAnsi="Verdana"/>
        </w:rPr>
        <w:t>Proposed date to be issued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7476E1" w:rsidRPr="00443DF6" w14:paraId="2127F9E9" w14:textId="77777777" w:rsidTr="007476E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B871F78"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0"/>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CF38F4"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1"/>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DC8B3F1"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7AC1371"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2"/>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F72CFA9"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3"/>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29558BE"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443D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67A3C68"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4"/>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6C0AEB"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5"/>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DEBA87F"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6"/>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4ABE2C9" w14:textId="77777777" w:rsidR="007476E1" w:rsidRPr="00443DF6" w:rsidRDefault="007476E1" w:rsidP="00C00611">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7"/>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15AB1EAA" w14:textId="77777777" w:rsidR="007476E1" w:rsidRDefault="007476E1" w:rsidP="007476E1">
      <w:pPr>
        <w:pStyle w:val="Answer"/>
        <w:keepNext/>
        <w:rPr>
          <w:rFonts w:ascii="Verdana" w:hAnsi="Verdana"/>
        </w:rPr>
      </w:pPr>
    </w:p>
    <w:p w14:paraId="60C40A04" w14:textId="76CFB553" w:rsidR="00E112F7" w:rsidRDefault="00D20E3F" w:rsidP="007476E1">
      <w:pPr>
        <w:pStyle w:val="Answer"/>
        <w:keepNext/>
        <w:rPr>
          <w:rFonts w:ascii="Verdana" w:hAnsi="Verdana"/>
        </w:rPr>
      </w:pPr>
      <w:r>
        <w:rPr>
          <w:rFonts w:ascii="Verdana" w:hAnsi="Verdana"/>
        </w:rPr>
        <w:br w:type="page"/>
      </w:r>
      <w:r w:rsidR="006E1F96">
        <w:rPr>
          <w:rFonts w:ascii="Verdana" w:hAnsi="Verdana"/>
        </w:rPr>
        <w:lastRenderedPageBreak/>
        <w:t>T</w:t>
      </w:r>
      <w:r w:rsidR="00E112F7">
        <w:rPr>
          <w:rFonts w:ascii="Verdana" w:hAnsi="Verdana"/>
        </w:rPr>
        <w:t xml:space="preserve">otal expected CET1 after the inclusion </w:t>
      </w:r>
      <w:r w:rsidR="00DA4432">
        <w:rPr>
          <w:rFonts w:ascii="Verdana" w:hAnsi="Verdana"/>
        </w:rPr>
        <w:t xml:space="preserve">of the amount to which this application relates </w:t>
      </w:r>
      <w:r w:rsidR="00E112F7">
        <w:rPr>
          <w:rFonts w:ascii="Verdana" w:hAnsi="Verdana"/>
        </w:rPr>
        <w:t>(please complete for all that apply)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68"/>
      </w:tblGrid>
      <w:tr w:rsidR="00E112F7" w:rsidRPr="0089339A" w14:paraId="7DD1F2D4" w14:textId="77777777" w:rsidTr="00701E96">
        <w:tc>
          <w:tcPr>
            <w:tcW w:w="4820" w:type="dxa"/>
            <w:shd w:val="clear" w:color="auto" w:fill="auto"/>
          </w:tcPr>
          <w:p w14:paraId="5BC12660"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MIFIDPRU investment firm (solo CET1)</w:t>
            </w:r>
          </w:p>
        </w:tc>
        <w:tc>
          <w:tcPr>
            <w:tcW w:w="2268" w:type="dxa"/>
            <w:shd w:val="clear" w:color="auto" w:fill="auto"/>
          </w:tcPr>
          <w:p w14:paraId="1BEA126F"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w:t>
            </w:r>
            <w:r w:rsidR="00A0479F" w:rsidRPr="00862EE7">
              <w:rPr>
                <w:rFonts w:ascii="Verdana" w:hAnsi="Verdana"/>
              </w:rPr>
              <w:fldChar w:fldCharType="begin">
                <w:ffData>
                  <w:name w:val="Text7"/>
                  <w:enabled/>
                  <w:calcOnExit w:val="0"/>
                  <w:textInput/>
                </w:ffData>
              </w:fldChar>
            </w:r>
            <w:r w:rsidR="00A0479F" w:rsidRPr="00862EE7">
              <w:rPr>
                <w:rFonts w:ascii="Verdana" w:hAnsi="Verdana"/>
              </w:rPr>
              <w:instrText xml:space="preserve"> FORMTEXT </w:instrText>
            </w:r>
            <w:r w:rsidR="00A0479F" w:rsidRPr="00862EE7">
              <w:rPr>
                <w:rFonts w:ascii="Verdana" w:hAnsi="Verdana"/>
              </w:rPr>
            </w:r>
            <w:r w:rsidR="00A0479F" w:rsidRPr="00862EE7">
              <w:rPr>
                <w:rFonts w:ascii="Verdana" w:hAnsi="Verdana"/>
              </w:rPr>
              <w:fldChar w:fldCharType="separate"/>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rPr>
              <w:fldChar w:fldCharType="end"/>
            </w:r>
          </w:p>
        </w:tc>
      </w:tr>
      <w:tr w:rsidR="00E112F7" w:rsidRPr="0089339A" w14:paraId="19CD562F" w14:textId="77777777" w:rsidTr="00701E96">
        <w:tc>
          <w:tcPr>
            <w:tcW w:w="4820" w:type="dxa"/>
            <w:shd w:val="clear" w:color="auto" w:fill="auto"/>
          </w:tcPr>
          <w:p w14:paraId="7A5DAC4B"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GCT parent undertaking (expected value of own funds instruments as specified in MIFIDPRU 2.6.2R(1))</w:t>
            </w:r>
          </w:p>
        </w:tc>
        <w:tc>
          <w:tcPr>
            <w:tcW w:w="2268" w:type="dxa"/>
            <w:shd w:val="clear" w:color="auto" w:fill="auto"/>
          </w:tcPr>
          <w:p w14:paraId="76A7AE0E"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w:t>
            </w:r>
            <w:r w:rsidR="00A0479F" w:rsidRPr="00862EE7">
              <w:rPr>
                <w:rFonts w:ascii="Verdana" w:hAnsi="Verdana"/>
              </w:rPr>
              <w:fldChar w:fldCharType="begin">
                <w:ffData>
                  <w:name w:val="Text7"/>
                  <w:enabled/>
                  <w:calcOnExit w:val="0"/>
                  <w:textInput/>
                </w:ffData>
              </w:fldChar>
            </w:r>
            <w:r w:rsidR="00A0479F" w:rsidRPr="00862EE7">
              <w:rPr>
                <w:rFonts w:ascii="Verdana" w:hAnsi="Verdana"/>
              </w:rPr>
              <w:instrText xml:space="preserve"> FORMTEXT </w:instrText>
            </w:r>
            <w:r w:rsidR="00A0479F" w:rsidRPr="00862EE7">
              <w:rPr>
                <w:rFonts w:ascii="Verdana" w:hAnsi="Verdana"/>
              </w:rPr>
            </w:r>
            <w:r w:rsidR="00A0479F" w:rsidRPr="00862EE7">
              <w:rPr>
                <w:rFonts w:ascii="Verdana" w:hAnsi="Verdana"/>
              </w:rPr>
              <w:fldChar w:fldCharType="separate"/>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rPr>
              <w:fldChar w:fldCharType="end"/>
            </w:r>
          </w:p>
        </w:tc>
      </w:tr>
      <w:tr w:rsidR="00E112F7" w:rsidRPr="0089339A" w14:paraId="2CD2D4BE" w14:textId="77777777" w:rsidTr="00701E96">
        <w:tc>
          <w:tcPr>
            <w:tcW w:w="4820" w:type="dxa"/>
            <w:shd w:val="clear" w:color="auto" w:fill="auto"/>
          </w:tcPr>
          <w:p w14:paraId="75700FBB"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Consolidating UK parent undertaking basis (consolidated CET1)</w:t>
            </w:r>
          </w:p>
        </w:tc>
        <w:tc>
          <w:tcPr>
            <w:tcW w:w="2268" w:type="dxa"/>
            <w:shd w:val="clear" w:color="auto" w:fill="auto"/>
          </w:tcPr>
          <w:p w14:paraId="67185DC9" w14:textId="77777777" w:rsidR="00E112F7" w:rsidRPr="00701E96" w:rsidRDefault="00E112F7" w:rsidP="00701E96">
            <w:pPr>
              <w:spacing w:before="60" w:after="60"/>
              <w:rPr>
                <w:rFonts w:ascii="Verdana" w:hAnsi="Verdana"/>
                <w:sz w:val="18"/>
                <w:szCs w:val="18"/>
              </w:rPr>
            </w:pPr>
            <w:r w:rsidRPr="00701E96">
              <w:rPr>
                <w:rFonts w:ascii="Verdana" w:hAnsi="Verdana"/>
                <w:sz w:val="18"/>
                <w:szCs w:val="18"/>
              </w:rPr>
              <w:t>£</w:t>
            </w:r>
            <w:r w:rsidR="00A0479F" w:rsidRPr="00862EE7">
              <w:rPr>
                <w:rFonts w:ascii="Verdana" w:hAnsi="Verdana"/>
              </w:rPr>
              <w:fldChar w:fldCharType="begin">
                <w:ffData>
                  <w:name w:val="Text7"/>
                  <w:enabled/>
                  <w:calcOnExit w:val="0"/>
                  <w:textInput/>
                </w:ffData>
              </w:fldChar>
            </w:r>
            <w:r w:rsidR="00A0479F" w:rsidRPr="00862EE7">
              <w:rPr>
                <w:rFonts w:ascii="Verdana" w:hAnsi="Verdana"/>
              </w:rPr>
              <w:instrText xml:space="preserve"> FORMTEXT </w:instrText>
            </w:r>
            <w:r w:rsidR="00A0479F" w:rsidRPr="00862EE7">
              <w:rPr>
                <w:rFonts w:ascii="Verdana" w:hAnsi="Verdana"/>
              </w:rPr>
            </w:r>
            <w:r w:rsidR="00A0479F" w:rsidRPr="00862EE7">
              <w:rPr>
                <w:rFonts w:ascii="Verdana" w:hAnsi="Verdana"/>
              </w:rPr>
              <w:fldChar w:fldCharType="separate"/>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noProof/>
              </w:rPr>
              <w:t> </w:t>
            </w:r>
            <w:r w:rsidR="00A0479F" w:rsidRPr="00862EE7">
              <w:rPr>
                <w:rFonts w:ascii="Verdana" w:hAnsi="Verdana"/>
              </w:rPr>
              <w:fldChar w:fldCharType="end"/>
            </w:r>
          </w:p>
        </w:tc>
      </w:tr>
    </w:tbl>
    <w:p w14:paraId="2F384601" w14:textId="77777777" w:rsidR="00701E96" w:rsidRPr="00701E96" w:rsidRDefault="00701E96" w:rsidP="00701E96">
      <w:pPr>
        <w:spacing w:before="0"/>
        <w:rPr>
          <w:vanish/>
        </w:rPr>
      </w:pPr>
    </w:p>
    <w:p w14:paraId="1CE26B0F" w14:textId="196C3075" w:rsidR="0084316C" w:rsidRDefault="007476E1" w:rsidP="0084316C">
      <w:pPr>
        <w:pStyle w:val="Question"/>
        <w:keepNext/>
        <w:rPr>
          <w:rFonts w:ascii="Verdana" w:hAnsi="Verdana"/>
          <w:b/>
        </w:rPr>
      </w:pPr>
      <w:r>
        <w:rPr>
          <w:rFonts w:ascii="Verdana" w:hAnsi="Verdana"/>
          <w:b/>
        </w:rPr>
        <w:tab/>
      </w:r>
      <w:r w:rsidR="005E564B" w:rsidRPr="005E564B">
        <w:rPr>
          <w:rFonts w:ascii="Verdana" w:hAnsi="Verdana"/>
          <w:b/>
        </w:rPr>
        <w:t>2.</w:t>
      </w:r>
      <w:r>
        <w:rPr>
          <w:rFonts w:ascii="Verdana" w:hAnsi="Verdana"/>
          <w:b/>
        </w:rPr>
        <w:t>3</w:t>
      </w:r>
      <w:r w:rsidR="005E564B" w:rsidRPr="005E564B">
        <w:rPr>
          <w:rFonts w:ascii="Verdana" w:hAnsi="Verdana"/>
          <w:b/>
        </w:rPr>
        <w:tab/>
      </w:r>
      <w:r w:rsidR="0084316C" w:rsidRPr="0084316C">
        <w:rPr>
          <w:rFonts w:ascii="Verdana" w:hAnsi="Verdana"/>
          <w:b/>
        </w:rPr>
        <w:t>For capital instruments to qualify as CET1 instruments, the following conditions must be met (see article 28 of the UK CRR).</w:t>
      </w:r>
      <w:r w:rsidR="0097787C">
        <w:rPr>
          <w:rFonts w:ascii="Verdana" w:hAnsi="Verdana"/>
          <w:b/>
        </w:rPr>
        <w:t xml:space="preserve"> Please confirm whether these conditions are met:</w:t>
      </w:r>
    </w:p>
    <w:p w14:paraId="3531D7FF" w14:textId="77777777" w:rsidR="0084316C" w:rsidRDefault="009146B5" w:rsidP="0084316C">
      <w:pPr>
        <w:pStyle w:val="Question"/>
        <w:keepNext/>
        <w:rPr>
          <w:rFonts w:ascii="Verdana" w:hAnsi="Verdana"/>
          <w:b/>
        </w:rPr>
      </w:pPr>
      <w:r w:rsidRPr="00443DF6">
        <w:rPr>
          <w:rFonts w:ascii="Verdana" w:hAnsi="Verdana"/>
          <w:b/>
        </w:rPr>
        <w:tab/>
      </w:r>
      <w:r w:rsidRPr="005E564B">
        <w:rPr>
          <w:rFonts w:ascii="Verdana" w:hAnsi="Verdana"/>
          <w:b/>
        </w:rPr>
        <w:tab/>
      </w:r>
      <w:r w:rsidR="0084316C">
        <w:rPr>
          <w:rFonts w:ascii="Verdana" w:hAnsi="Verdana"/>
          <w:b/>
        </w:rPr>
        <w:t xml:space="preserve">a) </w:t>
      </w:r>
      <w:r w:rsidR="0084316C" w:rsidRPr="0084316C">
        <w:rPr>
          <w:rFonts w:ascii="Verdana" w:hAnsi="Verdana"/>
          <w:b/>
        </w:rPr>
        <w:t>The instruments are issued directly by your institution, with prior approval of the owners or</w:t>
      </w:r>
      <w:r w:rsidR="00A90767">
        <w:rPr>
          <w:rFonts w:ascii="Verdana" w:hAnsi="Verdana"/>
          <w:b/>
        </w:rPr>
        <w:t>, if permitted by national law, the</w:t>
      </w:r>
      <w:r w:rsidR="0084316C" w:rsidRPr="0084316C">
        <w:rPr>
          <w:rFonts w:ascii="Verdana" w:hAnsi="Verdana"/>
          <w:b/>
        </w:rPr>
        <w:t xml:space="preserve"> management body of the institution </w:t>
      </w:r>
    </w:p>
    <w:p w14:paraId="5438184B"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0708DA1A"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79A3DDA6" w14:textId="3300F083" w:rsidR="0084316C" w:rsidRDefault="0084316C" w:rsidP="0084316C">
      <w:pPr>
        <w:pStyle w:val="Question"/>
        <w:keepNext/>
        <w:rPr>
          <w:rFonts w:ascii="Verdana" w:hAnsi="Verdana"/>
          <w:b/>
        </w:rPr>
      </w:pPr>
      <w:r>
        <w:rPr>
          <w:rFonts w:ascii="Verdana" w:hAnsi="Verdana"/>
          <w:b/>
        </w:rPr>
        <w:tab/>
      </w:r>
      <w:r>
        <w:rPr>
          <w:rFonts w:ascii="Verdana" w:hAnsi="Verdana"/>
          <w:b/>
        </w:rPr>
        <w:tab/>
        <w:t xml:space="preserve">b) </w:t>
      </w:r>
      <w:r w:rsidRPr="0084316C">
        <w:rPr>
          <w:rFonts w:ascii="Verdana" w:hAnsi="Verdana"/>
          <w:b/>
        </w:rPr>
        <w:t>The instruments are paid up and their purchase is not funded directly or indirectly by your institution (indirect funding</w:t>
      </w:r>
      <w:r w:rsidR="008E4ACA">
        <w:rPr>
          <w:rFonts w:ascii="Verdana" w:hAnsi="Verdana"/>
          <w:b/>
        </w:rPr>
        <w:t xml:space="preserve"> is defined in MIFID</w:t>
      </w:r>
      <w:r w:rsidR="00681DC1">
        <w:rPr>
          <w:rFonts w:ascii="Verdana" w:hAnsi="Verdana"/>
          <w:b/>
        </w:rPr>
        <w:t>PRU 3 Annex 7.20R</w:t>
      </w:r>
      <w:r w:rsidRPr="0084316C">
        <w:rPr>
          <w:rFonts w:ascii="Verdana" w:hAnsi="Verdana"/>
          <w:b/>
        </w:rPr>
        <w:t>)</w:t>
      </w:r>
    </w:p>
    <w:p w14:paraId="1E7B3114"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771684D5"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35F2E4E7" w14:textId="77777777" w:rsidR="0084316C" w:rsidRDefault="0084316C" w:rsidP="0084316C">
      <w:pPr>
        <w:pStyle w:val="Question"/>
        <w:keepNext/>
        <w:rPr>
          <w:rFonts w:ascii="Verdana" w:hAnsi="Verdana"/>
          <w:b/>
        </w:rPr>
      </w:pPr>
      <w:r>
        <w:rPr>
          <w:rFonts w:ascii="Verdana" w:hAnsi="Verdana"/>
          <w:b/>
        </w:rPr>
        <w:tab/>
      </w:r>
      <w:r>
        <w:rPr>
          <w:rFonts w:ascii="Verdana" w:hAnsi="Verdana"/>
          <w:b/>
        </w:rPr>
        <w:tab/>
        <w:t xml:space="preserve">c) The instruments meet </w:t>
      </w:r>
      <w:r w:rsidR="0097787C">
        <w:rPr>
          <w:rFonts w:ascii="Verdana" w:hAnsi="Verdana"/>
          <w:b/>
        </w:rPr>
        <w:t>all of the</w:t>
      </w:r>
      <w:r>
        <w:rPr>
          <w:rFonts w:ascii="Verdana" w:hAnsi="Verdana"/>
          <w:b/>
        </w:rPr>
        <w:t xml:space="preserve"> following conditions as regards their classification</w:t>
      </w:r>
    </w:p>
    <w:p w14:paraId="42443FC5" w14:textId="77777777" w:rsidR="0084316C" w:rsidRDefault="0084316C" w:rsidP="0084316C">
      <w:pPr>
        <w:pStyle w:val="Question"/>
        <w:keepNext/>
        <w:numPr>
          <w:ilvl w:val="0"/>
          <w:numId w:val="30"/>
        </w:numPr>
        <w:rPr>
          <w:rFonts w:ascii="Verdana" w:hAnsi="Verdana"/>
          <w:b/>
        </w:rPr>
      </w:pPr>
      <w:r w:rsidRPr="0084316C">
        <w:rPr>
          <w:rFonts w:ascii="Verdana" w:hAnsi="Verdana"/>
          <w:b/>
        </w:rPr>
        <w:t>they qualify as capital within the meaning of Art 28(1)(c)(i) of the UK CRR</w:t>
      </w:r>
    </w:p>
    <w:p w14:paraId="4F4F37D7"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2D1E13B1"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75E625F2" w14:textId="77777777" w:rsidR="0084316C" w:rsidRDefault="0084316C" w:rsidP="0084316C">
      <w:pPr>
        <w:pStyle w:val="Question"/>
        <w:keepNext/>
        <w:numPr>
          <w:ilvl w:val="0"/>
          <w:numId w:val="30"/>
        </w:numPr>
        <w:rPr>
          <w:rFonts w:ascii="Verdana" w:hAnsi="Verdana"/>
          <w:b/>
        </w:rPr>
      </w:pPr>
      <w:r w:rsidRPr="0084316C">
        <w:rPr>
          <w:rFonts w:ascii="Verdana" w:hAnsi="Verdana"/>
          <w:b/>
        </w:rPr>
        <w:t>they are classified as equity within the meaning of the applicable accounting framework:</w:t>
      </w:r>
    </w:p>
    <w:p w14:paraId="194A9B0B"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5E2ABEA6"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28E0D55A" w14:textId="77777777" w:rsidR="0084316C" w:rsidRDefault="0084316C" w:rsidP="0084316C">
      <w:pPr>
        <w:pStyle w:val="Question"/>
        <w:keepNext/>
        <w:numPr>
          <w:ilvl w:val="0"/>
          <w:numId w:val="30"/>
        </w:numPr>
        <w:rPr>
          <w:rFonts w:ascii="Verdana" w:hAnsi="Verdana"/>
          <w:b/>
        </w:rPr>
      </w:pPr>
      <w:r w:rsidRPr="0084316C">
        <w:rPr>
          <w:rFonts w:ascii="Verdana" w:hAnsi="Verdana"/>
          <w:b/>
        </w:rPr>
        <w:t>they are classified as equity capital for the purposes of determining balance sheet insolvency, where applicable under national insolvency law</w:t>
      </w:r>
    </w:p>
    <w:p w14:paraId="54659883"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5898C9FB" w14:textId="77777777" w:rsidR="0084316C" w:rsidRDefault="0084316C" w:rsidP="0084316C">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78898DB4" w14:textId="77777777" w:rsidR="0084316C" w:rsidRDefault="0084316C" w:rsidP="0084316C">
      <w:pPr>
        <w:pStyle w:val="Question"/>
        <w:keepNext/>
        <w:rPr>
          <w:rFonts w:ascii="Verdana" w:hAnsi="Verdana"/>
          <w:b/>
        </w:rPr>
      </w:pPr>
      <w:r>
        <w:rPr>
          <w:rFonts w:ascii="Verdana" w:hAnsi="Verdana"/>
          <w:b/>
        </w:rPr>
        <w:tab/>
      </w:r>
      <w:r>
        <w:rPr>
          <w:rFonts w:ascii="Verdana" w:hAnsi="Verdana"/>
          <w:b/>
        </w:rPr>
        <w:tab/>
        <w:t>d) The instruments are clearly and separately disclosed on the balance sheet in the financial statements of your institution</w:t>
      </w:r>
    </w:p>
    <w:p w14:paraId="500E2554"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9BAF9EE"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25130750" w14:textId="77777777" w:rsidR="0084316C" w:rsidRDefault="0084316C" w:rsidP="0084316C">
      <w:pPr>
        <w:pStyle w:val="Question"/>
        <w:keepNext/>
        <w:rPr>
          <w:rFonts w:ascii="Verdana" w:hAnsi="Verdana"/>
          <w:b/>
        </w:rPr>
      </w:pPr>
      <w:r>
        <w:rPr>
          <w:rFonts w:ascii="Verdana" w:hAnsi="Verdana"/>
          <w:b/>
        </w:rPr>
        <w:tab/>
      </w:r>
      <w:r>
        <w:rPr>
          <w:rFonts w:ascii="Verdana" w:hAnsi="Verdana"/>
          <w:b/>
        </w:rPr>
        <w:tab/>
        <w:t>e) The instruments are perpetual</w:t>
      </w:r>
    </w:p>
    <w:p w14:paraId="660C5875"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02AA7CE4"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6185D805" w14:textId="77777777" w:rsidR="0084316C" w:rsidRPr="0084316C" w:rsidRDefault="00BF70AE" w:rsidP="0084316C">
      <w:pPr>
        <w:pStyle w:val="Question"/>
        <w:keepNext/>
        <w:rPr>
          <w:rFonts w:ascii="Verdana" w:hAnsi="Verdana"/>
          <w:b/>
        </w:rPr>
      </w:pPr>
      <w:r>
        <w:rPr>
          <w:rFonts w:ascii="Verdana" w:hAnsi="Verdana"/>
          <w:b/>
        </w:rPr>
        <w:br w:type="page"/>
      </w:r>
      <w:r w:rsidR="0084316C">
        <w:rPr>
          <w:rFonts w:ascii="Verdana" w:hAnsi="Verdana"/>
          <w:b/>
        </w:rPr>
        <w:lastRenderedPageBreak/>
        <w:tab/>
      </w:r>
      <w:r w:rsidR="0084316C">
        <w:rPr>
          <w:rFonts w:ascii="Verdana" w:hAnsi="Verdana"/>
          <w:b/>
        </w:rPr>
        <w:tab/>
        <w:t xml:space="preserve">f) </w:t>
      </w:r>
      <w:r w:rsidR="0084316C" w:rsidRPr="0084316C">
        <w:rPr>
          <w:rFonts w:ascii="Verdana" w:hAnsi="Verdana"/>
          <w:b/>
        </w:rPr>
        <w:t>The principal amount of the instruments may not be reduced or repaid except in the following cases:</w:t>
      </w:r>
    </w:p>
    <w:p w14:paraId="66BD2390" w14:textId="77777777" w:rsidR="0084316C" w:rsidRPr="0084316C" w:rsidRDefault="0084316C" w:rsidP="0084316C">
      <w:pPr>
        <w:pStyle w:val="Question"/>
        <w:keepNext/>
        <w:numPr>
          <w:ilvl w:val="0"/>
          <w:numId w:val="32"/>
        </w:numPr>
        <w:rPr>
          <w:rFonts w:ascii="Verdana" w:hAnsi="Verdana"/>
          <w:bCs/>
        </w:rPr>
      </w:pPr>
      <w:r w:rsidRPr="0084316C">
        <w:rPr>
          <w:rFonts w:ascii="Verdana" w:hAnsi="Verdana"/>
          <w:bCs/>
        </w:rPr>
        <w:t>the liquidation of your institution</w:t>
      </w:r>
      <w:r w:rsidR="0097787C">
        <w:rPr>
          <w:rFonts w:ascii="Verdana" w:hAnsi="Verdana"/>
          <w:bCs/>
        </w:rPr>
        <w:t>; or</w:t>
      </w:r>
    </w:p>
    <w:p w14:paraId="010A43CD" w14:textId="77777777" w:rsidR="0084316C" w:rsidRPr="0084316C" w:rsidRDefault="0084316C" w:rsidP="0084316C">
      <w:pPr>
        <w:pStyle w:val="Question"/>
        <w:keepNext/>
        <w:numPr>
          <w:ilvl w:val="0"/>
          <w:numId w:val="32"/>
        </w:numPr>
        <w:rPr>
          <w:rFonts w:ascii="Verdana" w:hAnsi="Verdana"/>
          <w:bCs/>
        </w:rPr>
      </w:pPr>
      <w:r w:rsidRPr="0084316C">
        <w:rPr>
          <w:rFonts w:ascii="Verdana" w:hAnsi="Verdana"/>
          <w:bCs/>
        </w:rPr>
        <w:t>discretionary repurchases of the instruments or other discretionary means of reducing capital (</w:t>
      </w:r>
      <w:proofErr w:type="gramStart"/>
      <w:r w:rsidRPr="0084316C">
        <w:rPr>
          <w:rFonts w:ascii="Verdana" w:hAnsi="Verdana"/>
          <w:bCs/>
        </w:rPr>
        <w:t>e.g.</w:t>
      </w:r>
      <w:proofErr w:type="gramEnd"/>
      <w:r w:rsidRPr="0084316C">
        <w:rPr>
          <w:rFonts w:ascii="Verdana" w:hAnsi="Verdana"/>
          <w:bCs/>
        </w:rPr>
        <w:t xml:space="preserve"> call, redemption or repayment), where your institution has been granted prior permission of the competent authority under article 77 of the UK CRR:</w:t>
      </w:r>
    </w:p>
    <w:p w14:paraId="01D7C5F3"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4DD1B0C7" w14:textId="77777777" w:rsidR="0084316C" w:rsidRDefault="0084316C" w:rsidP="0084316C">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00779BCC" w14:textId="77777777" w:rsidR="00BF70AE" w:rsidRPr="00BF70AE" w:rsidRDefault="00BF70AE" w:rsidP="00BF70AE">
      <w:pPr>
        <w:pStyle w:val="Question"/>
        <w:keepNext/>
        <w:rPr>
          <w:rFonts w:ascii="Verdana" w:hAnsi="Verdana"/>
          <w:b/>
        </w:rPr>
      </w:pPr>
      <w:r>
        <w:rPr>
          <w:rFonts w:ascii="Verdana" w:hAnsi="Verdana"/>
          <w:b/>
        </w:rPr>
        <w:tab/>
      </w:r>
      <w:r>
        <w:rPr>
          <w:rFonts w:ascii="Verdana" w:hAnsi="Verdana"/>
          <w:b/>
        </w:rPr>
        <w:tab/>
        <w:t xml:space="preserve">g) </w:t>
      </w:r>
      <w:r w:rsidRPr="00BF70AE">
        <w:rPr>
          <w:rFonts w:ascii="Verdana" w:hAnsi="Verdana"/>
          <w:b/>
        </w:rPr>
        <w:t>The provisions governing the instruments do not indicate expressly or implicitly that the principal amount of the instruments would or might be reduced or repaid other than in the liquidation of your institution, and your institution does not otherwise provide such an indication prior to or at issuance of the instruments:</w:t>
      </w:r>
    </w:p>
    <w:p w14:paraId="07A08FA5"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35B358B4"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3C5EB35E" w14:textId="77777777" w:rsidR="00BF70AE" w:rsidRDefault="00BF70AE" w:rsidP="00BF70AE">
      <w:pPr>
        <w:pStyle w:val="Question"/>
        <w:keepNext/>
        <w:rPr>
          <w:rFonts w:ascii="Verdana" w:hAnsi="Verdana"/>
          <w:b/>
        </w:rPr>
      </w:pPr>
      <w:r>
        <w:rPr>
          <w:rFonts w:ascii="Verdana" w:hAnsi="Verdana"/>
          <w:b/>
        </w:rPr>
        <w:tab/>
      </w:r>
      <w:r>
        <w:rPr>
          <w:rFonts w:ascii="Verdana" w:hAnsi="Verdana"/>
          <w:b/>
        </w:rPr>
        <w:tab/>
        <w:t xml:space="preserve">h) </w:t>
      </w:r>
      <w:r w:rsidRPr="00BF70AE">
        <w:rPr>
          <w:rFonts w:ascii="Verdana" w:hAnsi="Verdana"/>
          <w:b/>
        </w:rPr>
        <w:t>The instruments meet the following conditions regarding distributions:</w:t>
      </w:r>
    </w:p>
    <w:p w14:paraId="1813E156" w14:textId="77777777" w:rsidR="00BF70AE" w:rsidRDefault="00BF70AE" w:rsidP="00BF70AE">
      <w:pPr>
        <w:pStyle w:val="Question"/>
        <w:keepNext/>
        <w:numPr>
          <w:ilvl w:val="0"/>
          <w:numId w:val="33"/>
        </w:numPr>
        <w:rPr>
          <w:rFonts w:ascii="Verdana" w:hAnsi="Verdana"/>
          <w:b/>
        </w:rPr>
      </w:pPr>
      <w:r w:rsidRPr="00BF70AE">
        <w:rPr>
          <w:rFonts w:ascii="Verdana" w:hAnsi="Verdana"/>
          <w:b/>
        </w:rPr>
        <w:t>there is no preferential distribution treatment regarding the order of distribution payments, including in relation to other Common Equity Tier 1 instruments, and the terms governing the instruments do not provide preferential rights to payment of distributions</w:t>
      </w:r>
    </w:p>
    <w:p w14:paraId="4DB85EF5"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351FB81E"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1CE72BF2" w14:textId="77777777" w:rsidR="00BF70AE" w:rsidRDefault="00BF70AE" w:rsidP="00BF70AE">
      <w:pPr>
        <w:pStyle w:val="Question"/>
        <w:keepNext/>
        <w:numPr>
          <w:ilvl w:val="0"/>
          <w:numId w:val="33"/>
        </w:numPr>
        <w:rPr>
          <w:rFonts w:ascii="Verdana" w:hAnsi="Verdana"/>
          <w:b/>
        </w:rPr>
      </w:pPr>
      <w:r w:rsidRPr="00BF70AE">
        <w:rPr>
          <w:rFonts w:ascii="Verdana" w:hAnsi="Verdana"/>
          <w:b/>
        </w:rPr>
        <w:t>distributions to holders of the instruments may be paid only out of distributable items</w:t>
      </w:r>
    </w:p>
    <w:p w14:paraId="6B8D9C9B"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32BDE144"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3977CA64" w14:textId="77777777" w:rsidR="00BF70AE" w:rsidRDefault="00BF70AE" w:rsidP="00BF70AE">
      <w:pPr>
        <w:pStyle w:val="Question"/>
        <w:keepNext/>
        <w:numPr>
          <w:ilvl w:val="0"/>
          <w:numId w:val="33"/>
        </w:numPr>
        <w:rPr>
          <w:rFonts w:ascii="Verdana" w:hAnsi="Verdana"/>
          <w:b/>
        </w:rPr>
      </w:pPr>
      <w:r w:rsidRPr="00BF70AE">
        <w:rPr>
          <w:rFonts w:ascii="Verdana" w:hAnsi="Verdana"/>
          <w:b/>
        </w:rPr>
        <w:t>the conditions governing the instruments do not include a cap or other restriction on the maximum level of distributions</w:t>
      </w:r>
    </w:p>
    <w:p w14:paraId="439C2C41"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595A8FDB"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024DA106" w14:textId="77777777" w:rsidR="00BF70AE" w:rsidRDefault="00BF70AE" w:rsidP="00BF70AE">
      <w:pPr>
        <w:pStyle w:val="Question"/>
        <w:keepNext/>
        <w:numPr>
          <w:ilvl w:val="0"/>
          <w:numId w:val="33"/>
        </w:numPr>
        <w:rPr>
          <w:rFonts w:ascii="Verdana" w:hAnsi="Verdana"/>
          <w:b/>
        </w:rPr>
      </w:pPr>
      <w:r w:rsidRPr="00BF70AE">
        <w:rPr>
          <w:rFonts w:ascii="Verdana" w:hAnsi="Verdana"/>
          <w:b/>
        </w:rPr>
        <w:t>the level of distributions is not determined on the basis of the amount for which the instruments were purchased at issuance</w:t>
      </w:r>
    </w:p>
    <w:p w14:paraId="77271C32"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3271B323"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4EF211C4" w14:textId="77777777" w:rsidR="00BF70AE" w:rsidRDefault="00BF70AE" w:rsidP="00BF70AE">
      <w:pPr>
        <w:pStyle w:val="Question"/>
        <w:keepNext/>
        <w:numPr>
          <w:ilvl w:val="0"/>
          <w:numId w:val="33"/>
        </w:numPr>
        <w:rPr>
          <w:rFonts w:ascii="Verdana" w:hAnsi="Verdana"/>
          <w:b/>
        </w:rPr>
      </w:pPr>
      <w:r w:rsidRPr="00BF70AE">
        <w:rPr>
          <w:rFonts w:ascii="Verdana" w:hAnsi="Verdana"/>
          <w:b/>
        </w:rPr>
        <w:t>the conditions governing the instruments do not include any obligation for your institution to make distributions to their holders and your institution is not otherwise subject to such an obligation</w:t>
      </w:r>
    </w:p>
    <w:p w14:paraId="37A0740E"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21910D7C"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54BF2410" w14:textId="77777777" w:rsidR="00BF70AE" w:rsidRDefault="00BF70AE" w:rsidP="00BF70AE">
      <w:pPr>
        <w:pStyle w:val="Question"/>
        <w:keepNext/>
        <w:numPr>
          <w:ilvl w:val="0"/>
          <w:numId w:val="33"/>
        </w:numPr>
        <w:rPr>
          <w:rFonts w:ascii="Verdana" w:hAnsi="Verdana"/>
          <w:b/>
        </w:rPr>
      </w:pPr>
      <w:r w:rsidRPr="00BF70AE">
        <w:rPr>
          <w:rFonts w:ascii="Verdana" w:hAnsi="Verdana"/>
          <w:b/>
        </w:rPr>
        <w:t>non-payment of distributions does not constitute an event of default of your institution</w:t>
      </w:r>
    </w:p>
    <w:p w14:paraId="43D767BB"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39B35CAE"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30F760B2" w14:textId="77777777" w:rsidR="00BF70AE" w:rsidRDefault="00BF70AE" w:rsidP="00BF70AE">
      <w:pPr>
        <w:pStyle w:val="Question"/>
        <w:keepNext/>
        <w:numPr>
          <w:ilvl w:val="0"/>
          <w:numId w:val="33"/>
        </w:numPr>
        <w:rPr>
          <w:rFonts w:ascii="Verdana" w:hAnsi="Verdana"/>
          <w:b/>
        </w:rPr>
      </w:pPr>
      <w:r w:rsidRPr="00BF70AE">
        <w:rPr>
          <w:rFonts w:ascii="Verdana" w:hAnsi="Verdana"/>
          <w:b/>
        </w:rPr>
        <w:lastRenderedPageBreak/>
        <w:t>the cancellation of distributions imposes no restrictions on your institution</w:t>
      </w:r>
    </w:p>
    <w:p w14:paraId="1D454C35"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Yes</w:t>
      </w:r>
    </w:p>
    <w:p w14:paraId="068941EF" w14:textId="77777777" w:rsidR="00BF70AE" w:rsidRDefault="00BF70AE" w:rsidP="00BF70AE">
      <w:pPr>
        <w:pStyle w:val="Answer"/>
        <w:keepNext/>
        <w:ind w:left="720"/>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Pr>
          <w:rFonts w:ascii="Verdana" w:hAnsi="Verdana"/>
        </w:rPr>
        <w:t xml:space="preserve"> No </w:t>
      </w:r>
    </w:p>
    <w:p w14:paraId="5AB31589" w14:textId="77777777" w:rsidR="00BF70AE" w:rsidRPr="00BF70AE" w:rsidRDefault="00BF70AE" w:rsidP="00BF70AE">
      <w:pPr>
        <w:pStyle w:val="Question"/>
        <w:keepNext/>
        <w:rPr>
          <w:rFonts w:ascii="Verdana" w:hAnsi="Verdana"/>
          <w:b/>
        </w:rPr>
      </w:pPr>
      <w:r>
        <w:rPr>
          <w:rFonts w:ascii="Verdana" w:hAnsi="Verdana"/>
          <w:b/>
        </w:rPr>
        <w:tab/>
      </w:r>
      <w:r>
        <w:rPr>
          <w:rFonts w:ascii="Verdana" w:hAnsi="Verdana"/>
          <w:b/>
        </w:rPr>
        <w:tab/>
        <w:t xml:space="preserve">i) </w:t>
      </w:r>
      <w:r w:rsidRPr="00BF70AE">
        <w:rPr>
          <w:rFonts w:ascii="Verdana" w:hAnsi="Verdana"/>
          <w:b/>
        </w:rPr>
        <w:t>Compared to all the capital instruments issued by your institution, the instruments absorb the first and proportionately greatest share of losses as they occur, and each instrument absorbs losses to the same degree as all other Common Equity Tier 1 instruments</w:t>
      </w:r>
    </w:p>
    <w:p w14:paraId="234E0CF3"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04539A80"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165ADA46" w14:textId="77777777" w:rsidR="00BF70AE" w:rsidRPr="00BF70AE" w:rsidRDefault="00BF70AE" w:rsidP="00BF70AE">
      <w:pPr>
        <w:pStyle w:val="Question"/>
        <w:keepNext/>
        <w:rPr>
          <w:rFonts w:ascii="Verdana" w:hAnsi="Verdana"/>
          <w:b/>
        </w:rPr>
      </w:pPr>
      <w:r>
        <w:rPr>
          <w:rFonts w:ascii="Verdana" w:hAnsi="Verdana"/>
          <w:b/>
        </w:rPr>
        <w:tab/>
      </w:r>
      <w:r>
        <w:rPr>
          <w:rFonts w:ascii="Verdana" w:hAnsi="Verdana"/>
          <w:b/>
        </w:rPr>
        <w:tab/>
        <w:t xml:space="preserve">j) </w:t>
      </w:r>
      <w:r w:rsidRPr="00BF70AE">
        <w:rPr>
          <w:rFonts w:ascii="Verdana" w:hAnsi="Verdana"/>
          <w:b/>
        </w:rPr>
        <w:t>The instruments rank below all other claims in the event of insolvency or liquidation of your institution</w:t>
      </w:r>
    </w:p>
    <w:p w14:paraId="367464A1"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2A454CFB"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3FA70084" w14:textId="77777777" w:rsidR="00BF70AE" w:rsidRDefault="00BF70AE" w:rsidP="00BF70AE">
      <w:pPr>
        <w:pStyle w:val="Question"/>
        <w:keepNext/>
        <w:rPr>
          <w:rFonts w:ascii="Verdana" w:hAnsi="Verdana"/>
          <w:b/>
        </w:rPr>
      </w:pPr>
      <w:r>
        <w:rPr>
          <w:rFonts w:ascii="Verdana" w:hAnsi="Verdana"/>
          <w:b/>
        </w:rPr>
        <w:tab/>
      </w:r>
      <w:r>
        <w:rPr>
          <w:rFonts w:ascii="Verdana" w:hAnsi="Verdana"/>
          <w:b/>
        </w:rPr>
        <w:tab/>
        <w:t xml:space="preserve">k) </w:t>
      </w:r>
      <w:r w:rsidRPr="00BF70AE">
        <w:rPr>
          <w:rFonts w:ascii="Verdana" w:hAnsi="Verdana"/>
          <w:b/>
        </w:rPr>
        <w:t>The instruments entitle their owners to a claim on the residual assets of your institution, which, in the event of its liquidation and after the payment of all senior claims, is proportionate to the amount of the instruments issued and is not fixed or subject to a cap</w:t>
      </w:r>
    </w:p>
    <w:p w14:paraId="04CB9ECD"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1297BF98"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629DE8A2" w14:textId="77777777" w:rsidR="00BF70AE" w:rsidRPr="00BF70AE" w:rsidRDefault="00BF70AE" w:rsidP="00BF70AE">
      <w:pPr>
        <w:pStyle w:val="Question"/>
        <w:keepNext/>
        <w:rPr>
          <w:rFonts w:ascii="Verdana" w:hAnsi="Verdana"/>
          <w:b/>
        </w:rPr>
      </w:pPr>
      <w:r>
        <w:rPr>
          <w:rFonts w:ascii="Verdana" w:hAnsi="Verdana"/>
          <w:b/>
        </w:rPr>
        <w:tab/>
      </w:r>
      <w:r>
        <w:rPr>
          <w:rFonts w:ascii="Verdana" w:hAnsi="Verdana"/>
          <w:b/>
        </w:rPr>
        <w:tab/>
        <w:t xml:space="preserve">l) </w:t>
      </w:r>
      <w:r w:rsidRPr="00BF70AE">
        <w:rPr>
          <w:rFonts w:ascii="Verdana" w:hAnsi="Verdana"/>
          <w:b/>
        </w:rPr>
        <w:t>The instruments are not secured, or subject to a guarantee that enhances the seniority of the claim by any of the following: (</w:t>
      </w:r>
      <w:r w:rsidR="0097787C">
        <w:rPr>
          <w:rFonts w:ascii="Verdana" w:hAnsi="Verdana"/>
          <w:b/>
        </w:rPr>
        <w:t xml:space="preserve">Answer </w:t>
      </w:r>
      <w:r w:rsidR="003A624D">
        <w:rPr>
          <w:rFonts w:ascii="Verdana" w:hAnsi="Verdana"/>
          <w:b/>
        </w:rPr>
        <w:t>“</w:t>
      </w:r>
      <w:r w:rsidR="0097787C">
        <w:rPr>
          <w:rFonts w:ascii="Verdana" w:hAnsi="Verdana"/>
          <w:b/>
        </w:rPr>
        <w:t>yes</w:t>
      </w:r>
      <w:r w:rsidR="003A624D">
        <w:rPr>
          <w:rFonts w:ascii="Verdana" w:hAnsi="Verdana"/>
          <w:b/>
        </w:rPr>
        <w:t>”</w:t>
      </w:r>
      <w:r w:rsidR="0097787C">
        <w:rPr>
          <w:rFonts w:ascii="Verdana" w:hAnsi="Verdana"/>
          <w:b/>
        </w:rPr>
        <w:t xml:space="preserve"> </w:t>
      </w:r>
      <w:r w:rsidRPr="00BF70AE">
        <w:rPr>
          <w:rFonts w:ascii="Verdana" w:hAnsi="Verdana"/>
          <w:b/>
        </w:rPr>
        <w:t xml:space="preserve">if </w:t>
      </w:r>
      <w:r w:rsidR="0097787C">
        <w:rPr>
          <w:rFonts w:ascii="Verdana" w:hAnsi="Verdana"/>
          <w:b/>
        </w:rPr>
        <w:t xml:space="preserve">the </w:t>
      </w:r>
      <w:r w:rsidRPr="00BF70AE">
        <w:rPr>
          <w:rFonts w:ascii="Verdana" w:hAnsi="Verdana"/>
          <w:b/>
        </w:rPr>
        <w:t>instruments are not secured in this way)</w:t>
      </w:r>
    </w:p>
    <w:p w14:paraId="5EF27474"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your institution or its subsidiaries</w:t>
      </w:r>
    </w:p>
    <w:p w14:paraId="166A6BAC"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the parent undertaking of your institution or its subsidiaries</w:t>
      </w:r>
    </w:p>
    <w:p w14:paraId="0BB15DAF"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the parent financial holding company or its subsidiaries</w:t>
      </w:r>
    </w:p>
    <w:p w14:paraId="2E63BEE5"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the mixed activity holding company or its subsidiaries</w:t>
      </w:r>
    </w:p>
    <w:p w14:paraId="439F1322"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the mixed financial holding company and its subsidiaries</w:t>
      </w:r>
    </w:p>
    <w:p w14:paraId="48ADE52E" w14:textId="77777777" w:rsidR="00BF70AE" w:rsidRPr="00BF70AE" w:rsidRDefault="00BF70AE" w:rsidP="00BF70AE">
      <w:pPr>
        <w:pStyle w:val="Question"/>
        <w:keepNext/>
        <w:numPr>
          <w:ilvl w:val="0"/>
          <w:numId w:val="34"/>
        </w:numPr>
        <w:rPr>
          <w:rFonts w:ascii="Verdana" w:hAnsi="Verdana"/>
          <w:bCs/>
        </w:rPr>
      </w:pPr>
      <w:r w:rsidRPr="00BF70AE">
        <w:rPr>
          <w:rFonts w:ascii="Verdana" w:hAnsi="Verdana"/>
          <w:bCs/>
        </w:rPr>
        <w:t>any undertaking that has close links with the entities referred to in points i. to v</w:t>
      </w:r>
      <w:r>
        <w:rPr>
          <w:rFonts w:ascii="Verdana" w:hAnsi="Verdana"/>
          <w:bCs/>
        </w:rPr>
        <w:t>.</w:t>
      </w:r>
    </w:p>
    <w:p w14:paraId="523DE9C8"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2C3E6FDB"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7255E1FF" w14:textId="77777777" w:rsidR="00BF70AE" w:rsidRDefault="00BF70AE" w:rsidP="00BF70AE">
      <w:pPr>
        <w:pStyle w:val="Question"/>
        <w:keepNext/>
        <w:rPr>
          <w:rFonts w:ascii="Verdana" w:hAnsi="Verdana"/>
          <w:b/>
        </w:rPr>
      </w:pPr>
      <w:r>
        <w:rPr>
          <w:rFonts w:ascii="Verdana" w:hAnsi="Verdana"/>
          <w:b/>
        </w:rPr>
        <w:tab/>
      </w:r>
      <w:r>
        <w:rPr>
          <w:rFonts w:ascii="Verdana" w:hAnsi="Verdana"/>
          <w:b/>
        </w:rPr>
        <w:tab/>
        <w:t xml:space="preserve">m) </w:t>
      </w:r>
      <w:r w:rsidRPr="00BF70AE">
        <w:rPr>
          <w:rFonts w:ascii="Verdana" w:hAnsi="Verdana"/>
          <w:b/>
        </w:rPr>
        <w:t>The instruments are not subject to any arrangement, contractual or otherwise, that enhances the seniority of claims under the instruments in insolvency or liquidation: (</w:t>
      </w:r>
      <w:r w:rsidR="003A624D">
        <w:rPr>
          <w:rFonts w:ascii="Verdana" w:hAnsi="Verdana"/>
          <w:b/>
        </w:rPr>
        <w:t xml:space="preserve">Answer “yes” </w:t>
      </w:r>
      <w:r w:rsidRPr="00BF70AE">
        <w:rPr>
          <w:rFonts w:ascii="Verdana" w:hAnsi="Verdana"/>
          <w:b/>
        </w:rPr>
        <w:t xml:space="preserve">if </w:t>
      </w:r>
      <w:r w:rsidR="003A624D">
        <w:rPr>
          <w:rFonts w:ascii="Verdana" w:hAnsi="Verdana"/>
          <w:b/>
        </w:rPr>
        <w:t xml:space="preserve">the </w:t>
      </w:r>
      <w:r w:rsidRPr="00BF70AE">
        <w:rPr>
          <w:rFonts w:ascii="Verdana" w:hAnsi="Verdana"/>
          <w:b/>
        </w:rPr>
        <w:t>instruments are not subject to any arrangement in this way)</w:t>
      </w:r>
    </w:p>
    <w:p w14:paraId="63CBF1BD"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2205D47A" w14:textId="77777777" w:rsidR="00BF70AE" w:rsidRDefault="00BF70AE" w:rsidP="00BF70AE">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54B5069D" w14:textId="77777777" w:rsidR="00BA7EA1" w:rsidRPr="00BA7EA1" w:rsidRDefault="00BF70AE" w:rsidP="00BA7EA1">
      <w:pPr>
        <w:pStyle w:val="Qsheading1"/>
        <w:rPr>
          <w:rFonts w:ascii="Verdana" w:hAnsi="Verdana"/>
          <w:bCs/>
        </w:rPr>
      </w:pPr>
      <w:r>
        <w:rPr>
          <w:rFonts w:ascii="Verdana" w:hAnsi="Verdana"/>
          <w:b w:val="0"/>
        </w:rPr>
        <w:br w:type="page"/>
      </w:r>
      <w:r w:rsidR="00BA7EA1" w:rsidRPr="00BA7EA1">
        <w:rPr>
          <w:rFonts w:ascii="Verdana" w:hAnsi="Verdana"/>
          <w:bCs/>
        </w:rPr>
        <w:lastRenderedPageBreak/>
        <w:t xml:space="preserve">Partnership Capital </w:t>
      </w:r>
    </w:p>
    <w:p w14:paraId="3FCB9B03" w14:textId="77777777" w:rsidR="00BA7EA1" w:rsidRPr="00BA7EA1" w:rsidRDefault="00BA7EA1" w:rsidP="00BA7EA1">
      <w:pPr>
        <w:pStyle w:val="Answer"/>
        <w:keepNext/>
        <w:rPr>
          <w:rFonts w:ascii="Verdana" w:hAnsi="Verdana"/>
        </w:rPr>
      </w:pPr>
      <w:r w:rsidRPr="00BA7EA1">
        <w:rPr>
          <w:rFonts w:ascii="Verdana" w:hAnsi="Verdana"/>
        </w:rPr>
        <w:t>This section should only be completed by partnerships</w:t>
      </w:r>
      <w:r w:rsidR="005859AE">
        <w:rPr>
          <w:rFonts w:ascii="Verdana" w:hAnsi="Verdana"/>
        </w:rPr>
        <w:t>.</w:t>
      </w:r>
    </w:p>
    <w:p w14:paraId="0106A41A" w14:textId="77777777" w:rsidR="00151EF0" w:rsidRPr="00BA7EA1" w:rsidRDefault="005472E7" w:rsidP="00BA7EA1">
      <w:pPr>
        <w:pStyle w:val="Question"/>
        <w:keepNext/>
        <w:spacing w:after="20"/>
        <w:rPr>
          <w:rFonts w:ascii="Verdana" w:hAnsi="Verdana"/>
          <w:b/>
        </w:rPr>
      </w:pPr>
      <w:r>
        <w:rPr>
          <w:rFonts w:ascii="Verdana" w:hAnsi="Verdana"/>
          <w:b/>
        </w:rPr>
        <w:t>2.</w:t>
      </w:r>
      <w:r w:rsidR="00BF70AE">
        <w:rPr>
          <w:rFonts w:ascii="Verdana" w:hAnsi="Verdana"/>
          <w:b/>
        </w:rPr>
        <w:t>4</w:t>
      </w:r>
      <w:r>
        <w:rPr>
          <w:rFonts w:ascii="Verdana" w:hAnsi="Verdana"/>
          <w:b/>
        </w:rPr>
        <w:tab/>
      </w:r>
      <w:r w:rsidR="00265DEF">
        <w:rPr>
          <w:rFonts w:ascii="Verdana" w:hAnsi="Verdana"/>
          <w:b/>
        </w:rPr>
        <w:tab/>
      </w:r>
      <w:r w:rsidR="00BA7EA1" w:rsidRPr="00BA7EA1">
        <w:rPr>
          <w:rFonts w:ascii="Verdana" w:hAnsi="Verdana"/>
          <w:b/>
        </w:rPr>
        <w:t xml:space="preserve">Is the capital contributed </w:t>
      </w:r>
      <w:proofErr w:type="gramStart"/>
      <w:r w:rsidR="00BA7EA1" w:rsidRPr="00BA7EA1">
        <w:rPr>
          <w:rFonts w:ascii="Verdana" w:hAnsi="Verdana"/>
          <w:b/>
        </w:rPr>
        <w:t>in</w:t>
      </w:r>
      <w:proofErr w:type="gramEnd"/>
      <w:r w:rsidR="00BA7EA1" w:rsidRPr="00BA7EA1">
        <w:rPr>
          <w:rFonts w:ascii="Verdana" w:hAnsi="Verdana"/>
          <w:b/>
        </w:rPr>
        <w:t xml:space="preserve"> accordance with MIFIDPRU 3.3.15R or MIFIDPRU 3.2.16R?</w:t>
      </w:r>
    </w:p>
    <w:p w14:paraId="76D21D09" w14:textId="77777777" w:rsidR="009146B5" w:rsidRDefault="0075007E"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sidR="009146B5">
        <w:rPr>
          <w:rFonts w:ascii="Verdana" w:hAnsi="Verdana"/>
        </w:rPr>
        <w:t>Yes</w:t>
      </w:r>
    </w:p>
    <w:p w14:paraId="75B0C6D2" w14:textId="77777777" w:rsidR="005472E7" w:rsidRDefault="009146B5" w:rsidP="005472E7">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19C868E4" w14:textId="77777777" w:rsidR="00BA7EA1" w:rsidRDefault="00BA7EA1" w:rsidP="005472E7">
      <w:pPr>
        <w:pStyle w:val="Answer"/>
        <w:keepNext/>
        <w:rPr>
          <w:rFonts w:ascii="Verdana" w:hAnsi="Verdana"/>
        </w:rPr>
      </w:pPr>
    </w:p>
    <w:p w14:paraId="386CBD62" w14:textId="77777777" w:rsidR="00BA7EA1" w:rsidRPr="00BA7EA1" w:rsidRDefault="00BA7EA1" w:rsidP="00BA7EA1">
      <w:pPr>
        <w:pStyle w:val="Answer"/>
        <w:keepNext/>
        <w:rPr>
          <w:rFonts w:ascii="Verdana" w:hAnsi="Verdana"/>
        </w:rPr>
      </w:pPr>
      <w:r w:rsidRPr="00BA7EA1">
        <w:rPr>
          <w:rFonts w:ascii="Verdana" w:hAnsi="Verdana"/>
        </w:rPr>
        <w:t xml:space="preserve">Material on how UK CRR article 28(1)(e) and (f) may be complied with can be found in MIFIDPRU 3.3.15R and 3.3.16R. </w:t>
      </w:r>
    </w:p>
    <w:p w14:paraId="3EAA282D" w14:textId="148CF1D7" w:rsidR="009146B5" w:rsidRPr="009146B5" w:rsidRDefault="005472E7" w:rsidP="009146B5">
      <w:pPr>
        <w:pStyle w:val="Question"/>
        <w:keepNext/>
        <w:spacing w:after="20"/>
        <w:rPr>
          <w:rFonts w:ascii="Verdana" w:hAnsi="Verdana"/>
          <w:b/>
        </w:rPr>
      </w:pPr>
      <w:r>
        <w:rPr>
          <w:rFonts w:ascii="Verdana" w:hAnsi="Verdana"/>
          <w:b/>
        </w:rPr>
        <w:t>2.</w:t>
      </w:r>
      <w:r w:rsidR="00BA7EA1">
        <w:rPr>
          <w:rFonts w:ascii="Verdana" w:hAnsi="Verdana"/>
          <w:b/>
        </w:rPr>
        <w:t>5</w:t>
      </w:r>
      <w:r>
        <w:rPr>
          <w:rFonts w:ascii="Verdana" w:hAnsi="Verdana"/>
          <w:b/>
        </w:rPr>
        <w:tab/>
      </w:r>
      <w:r>
        <w:rPr>
          <w:rFonts w:ascii="Verdana" w:hAnsi="Verdana"/>
          <w:b/>
        </w:rPr>
        <w:tab/>
      </w:r>
      <w:r w:rsidR="009146B5" w:rsidRPr="009146B5">
        <w:rPr>
          <w:rFonts w:ascii="Verdana" w:hAnsi="Verdana"/>
          <w:b/>
        </w:rPr>
        <w:t xml:space="preserve">Please confirm </w:t>
      </w:r>
      <w:r w:rsidR="003A624D">
        <w:rPr>
          <w:rFonts w:ascii="Verdana" w:hAnsi="Verdana"/>
          <w:b/>
        </w:rPr>
        <w:t xml:space="preserve">whether </w:t>
      </w:r>
      <w:r w:rsidR="00BA7EA1">
        <w:rPr>
          <w:rFonts w:ascii="Verdana" w:hAnsi="Verdana"/>
          <w:b/>
        </w:rPr>
        <w:t xml:space="preserve">the </w:t>
      </w:r>
      <w:r w:rsidR="00BA7EA1" w:rsidRPr="00BA7EA1">
        <w:rPr>
          <w:rFonts w:ascii="Verdana" w:hAnsi="Verdana"/>
          <w:b/>
        </w:rPr>
        <w:t xml:space="preserve">capital issuance to which this application relates meets the criteria required by the UK CRR </w:t>
      </w:r>
      <w:r w:rsidR="002F3223">
        <w:rPr>
          <w:rFonts w:ascii="Verdana" w:hAnsi="Verdana"/>
          <w:b/>
        </w:rPr>
        <w:t xml:space="preserve">(as applied </w:t>
      </w:r>
      <w:r w:rsidR="00694508">
        <w:rPr>
          <w:rFonts w:ascii="Verdana" w:hAnsi="Verdana"/>
          <w:b/>
        </w:rPr>
        <w:t>by MIFIDPRU 3), including any relevant requirements in MIFIDPRU 3 Annex 7R.</w:t>
      </w:r>
    </w:p>
    <w:p w14:paraId="20D41C71" w14:textId="77777777" w:rsidR="00BA7EA1" w:rsidRDefault="00BA7EA1" w:rsidP="00BA7EA1">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Yes</w:t>
      </w:r>
    </w:p>
    <w:p w14:paraId="0453E994" w14:textId="77777777" w:rsidR="00BA7EA1" w:rsidRDefault="00BA7EA1" w:rsidP="00BA7EA1">
      <w:pPr>
        <w:pStyle w:val="Answer"/>
        <w:keepNext/>
        <w:rPr>
          <w:rFonts w:ascii="Verdana" w:hAnsi="Verdana"/>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8E4ACA">
        <w:rPr>
          <w:rFonts w:ascii="Verdana" w:hAnsi="Verdana"/>
        </w:rPr>
      </w:r>
      <w:r w:rsidR="008E4AC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 xml:space="preserve">No </w:t>
      </w:r>
    </w:p>
    <w:p w14:paraId="22349408" w14:textId="77777777" w:rsidR="00BA7EA1" w:rsidRDefault="00BA7EA1" w:rsidP="00BA7EA1">
      <w:pPr>
        <w:pStyle w:val="Answer"/>
        <w:keepNext/>
        <w:rPr>
          <w:rFonts w:ascii="Verdana" w:hAnsi="Verdana"/>
        </w:rPr>
      </w:pPr>
    </w:p>
    <w:p w14:paraId="561FB266" w14:textId="77777777" w:rsidR="00BA7EA1" w:rsidRPr="00BA7EA1" w:rsidRDefault="00BA7EA1" w:rsidP="00BA7EA1">
      <w:pPr>
        <w:pStyle w:val="Answer"/>
        <w:keepNext/>
        <w:rPr>
          <w:rFonts w:ascii="Verdana" w:hAnsi="Verdana"/>
        </w:rPr>
      </w:pPr>
      <w:r>
        <w:rPr>
          <w:rFonts w:ascii="Verdana" w:hAnsi="Verdana"/>
        </w:rPr>
        <w:t xml:space="preserve">Please note that the FCA may request </w:t>
      </w:r>
      <w:r w:rsidR="003A624D">
        <w:rPr>
          <w:rFonts w:ascii="Verdana" w:hAnsi="Verdana"/>
        </w:rPr>
        <w:t xml:space="preserve">a copy </w:t>
      </w:r>
      <w:r>
        <w:rPr>
          <w:rFonts w:ascii="Verdana" w:hAnsi="Verdana"/>
        </w:rPr>
        <w:t>of the terms of the instrument, or further information.</w:t>
      </w:r>
    </w:p>
    <w:p w14:paraId="190BD570" w14:textId="77777777" w:rsidR="00BA7EA1" w:rsidRDefault="00BA7EA1" w:rsidP="00BA7EA1">
      <w:pPr>
        <w:pStyle w:val="Answer"/>
        <w:keepNext/>
        <w:rPr>
          <w:rFonts w:ascii="Verdana" w:hAnsi="Verdana"/>
        </w:rPr>
      </w:pPr>
    </w:p>
    <w:p w14:paraId="7607F01E" w14:textId="77777777" w:rsidR="005472E7" w:rsidRPr="005527F4" w:rsidRDefault="005472E7" w:rsidP="004A78D3">
      <w:pPr>
        <w:pStyle w:val="Question"/>
        <w:keepNext/>
        <w:rPr>
          <w:rFonts w:ascii="Verdana" w:hAnsi="Verdana" w:cs="Arial"/>
          <w:szCs w:val="18"/>
        </w:rPr>
      </w:pPr>
    </w:p>
    <w:sectPr w:rsidR="005472E7" w:rsidRPr="005527F4" w:rsidSect="00AF5024">
      <w:headerReference w:type="default" r:id="rId20"/>
      <w:headerReference w:type="first" r:id="rId21"/>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DBBDE" w14:textId="77777777" w:rsidR="007F5E5C" w:rsidRDefault="007F5E5C">
      <w:r>
        <w:separator/>
      </w:r>
    </w:p>
  </w:endnote>
  <w:endnote w:type="continuationSeparator" w:id="0">
    <w:p w14:paraId="73FF292F" w14:textId="77777777" w:rsidR="007F5E5C" w:rsidRDefault="007F5E5C">
      <w:r>
        <w:continuationSeparator/>
      </w:r>
    </w:p>
  </w:endnote>
  <w:endnote w:type="continuationNotice" w:id="1">
    <w:p w14:paraId="773E9E4B" w14:textId="77777777" w:rsidR="007F5E5C" w:rsidRDefault="007F5E5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0B59B" w14:textId="526DB0EC" w:rsidR="0058743B" w:rsidRDefault="008E4ACA" w:rsidP="0058743B">
    <w:pPr>
      <w:pStyle w:val="Footer"/>
      <w:tabs>
        <w:tab w:val="clear" w:pos="4320"/>
        <w:tab w:val="right" w:pos="7797"/>
      </w:tabs>
      <w:rPr>
        <w:sz w:val="16"/>
      </w:rPr>
    </w:pPr>
    <w:r>
      <w:rPr>
        <w:noProof/>
        <w:sz w:val="16"/>
      </w:rPr>
      <w:pict w14:anchorId="3950144F">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 xml:space="preserve">MIFIDPRU </w:t>
    </w:r>
    <w:r w:rsidR="00BA7EA1">
      <w:rPr>
        <w:sz w:val="16"/>
      </w:rPr>
      <w:t xml:space="preserve">3.3.3(1) </w:t>
    </w:r>
    <w:r w:rsidR="003704B4">
      <w:rPr>
        <w:sz w:val="16"/>
      </w:rPr>
      <w:t>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57344C">
      <w:rPr>
        <w:sz w:val="16"/>
      </w:rPr>
      <w:t>2</w:t>
    </w:r>
    <w:r w:rsidR="006F3E98">
      <w:rPr>
        <w:sz w:val="16"/>
      </w:rPr>
      <w:t xml:space="preserve"> </w:t>
    </w:r>
    <w:r w:rsidR="0058743B" w:rsidRPr="002F6BB1">
      <w:rPr>
        <w:sz w:val="12"/>
      </w:rPr>
      <w:sym w:font="Wingdings" w:char="F06C"/>
    </w:r>
    <w:r w:rsidR="0058743B" w:rsidRPr="002F6BB1">
      <w:rPr>
        <w:sz w:val="16"/>
      </w:rPr>
      <w:t xml:space="preserve"> </w:t>
    </w:r>
    <w:r w:rsidR="0057344C">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D13C5F0"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D232E" w14:textId="180165E8" w:rsidR="00097B96" w:rsidRPr="00D20E3F" w:rsidRDefault="008E4ACA" w:rsidP="00D20E3F">
    <w:pPr>
      <w:pStyle w:val="Footer"/>
      <w:tabs>
        <w:tab w:val="clear" w:pos="4320"/>
        <w:tab w:val="right" w:pos="7797"/>
      </w:tabs>
      <w:rPr>
        <w:sz w:val="16"/>
      </w:rPr>
    </w:pPr>
    <w:r>
      <w:rPr>
        <w:noProof/>
        <w:sz w:val="16"/>
      </w:rPr>
      <w:pict w14:anchorId="5027E1F5">
        <v:line id="_x0000_s2072" style="position:absolute;z-index:251658241;mso-position-horizontal-relative:margin" from="0,2.85pt" to="391.2pt,2.85pt" o:allowincell="f" strokecolor="#701b45" strokeweight="1.5pt">
          <w10:wrap anchorx="margin"/>
        </v:line>
      </w:pict>
    </w:r>
    <w:r w:rsidR="00D20E3F" w:rsidRPr="00C77EDB">
      <w:rPr>
        <w:i/>
        <w:sz w:val="16"/>
      </w:rPr>
      <w:t xml:space="preserve"> </w:t>
    </w:r>
    <w:r w:rsidR="00D20E3F">
      <w:rPr>
        <w:i/>
        <w:sz w:val="16"/>
      </w:rPr>
      <w:t>FCA</w:t>
    </w:r>
    <w:r w:rsidR="00D20E3F">
      <w:rPr>
        <w:sz w:val="16"/>
      </w:rPr>
      <w:t xml:space="preserve"> </w:t>
    </w:r>
    <w:r w:rsidR="00D20E3F">
      <w:rPr>
        <w:sz w:val="12"/>
      </w:rPr>
      <w:sym w:font="Wingdings" w:char="F06C"/>
    </w:r>
    <w:r w:rsidR="00D20E3F">
      <w:rPr>
        <w:sz w:val="16"/>
      </w:rPr>
      <w:t xml:space="preserve"> MIFIDPRU 3.3.3(1) R </w:t>
    </w:r>
    <w:r w:rsidR="00D20E3F">
      <w:rPr>
        <w:sz w:val="12"/>
      </w:rPr>
      <w:sym w:font="Wingdings" w:char="F06C"/>
    </w:r>
    <w:r w:rsidR="00D20E3F">
      <w:rPr>
        <w:sz w:val="12"/>
      </w:rPr>
      <w:t xml:space="preserve"> </w:t>
    </w:r>
    <w:r w:rsidR="00D20E3F" w:rsidRPr="002F6BB1">
      <w:rPr>
        <w:sz w:val="16"/>
      </w:rPr>
      <w:t xml:space="preserve">Release </w:t>
    </w:r>
    <w:r w:rsidR="0057344C">
      <w:rPr>
        <w:sz w:val="16"/>
      </w:rPr>
      <w:t>2</w:t>
    </w:r>
    <w:r w:rsidR="00D20E3F">
      <w:rPr>
        <w:sz w:val="16"/>
      </w:rPr>
      <w:t xml:space="preserve"> </w:t>
    </w:r>
    <w:r w:rsidR="00D20E3F" w:rsidRPr="002F6BB1">
      <w:rPr>
        <w:sz w:val="12"/>
      </w:rPr>
      <w:sym w:font="Wingdings" w:char="F06C"/>
    </w:r>
    <w:r w:rsidR="00D20E3F" w:rsidRPr="002F6BB1">
      <w:rPr>
        <w:sz w:val="16"/>
      </w:rPr>
      <w:t xml:space="preserve"> </w:t>
    </w:r>
    <w:r w:rsidR="0057344C">
      <w:rPr>
        <w:sz w:val="16"/>
      </w:rPr>
      <w:t xml:space="preserve">November </w:t>
    </w:r>
    <w:r w:rsidR="00D20E3F">
      <w:rPr>
        <w:sz w:val="16"/>
      </w:rPr>
      <w:t>2021</w:t>
    </w:r>
    <w:r w:rsidR="00D20E3F">
      <w:rPr>
        <w:sz w:val="16"/>
      </w:rPr>
      <w:tab/>
      <w:t xml:space="preserve">page </w:t>
    </w:r>
    <w:r w:rsidR="00D20E3F">
      <w:rPr>
        <w:rStyle w:val="PageNumber"/>
        <w:b/>
        <w:sz w:val="16"/>
      </w:rPr>
      <w:fldChar w:fldCharType="begin"/>
    </w:r>
    <w:r w:rsidR="00D20E3F">
      <w:rPr>
        <w:rStyle w:val="PageNumber"/>
        <w:b/>
        <w:sz w:val="16"/>
      </w:rPr>
      <w:instrText xml:space="preserve"> PAGE </w:instrText>
    </w:r>
    <w:r w:rsidR="00D20E3F">
      <w:rPr>
        <w:rStyle w:val="PageNumber"/>
        <w:b/>
        <w:sz w:val="16"/>
      </w:rPr>
      <w:fldChar w:fldCharType="separate"/>
    </w:r>
    <w:r w:rsidR="00D20E3F">
      <w:rPr>
        <w:rStyle w:val="PageNumber"/>
        <w:b/>
        <w:sz w:val="16"/>
      </w:rPr>
      <w:t>7</w:t>
    </w:r>
    <w:r w:rsidR="00D20E3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2739" w14:textId="77777777" w:rsidR="007F5E5C" w:rsidRDefault="007F5E5C">
      <w:r>
        <w:separator/>
      </w:r>
    </w:p>
  </w:footnote>
  <w:footnote w:type="continuationSeparator" w:id="0">
    <w:p w14:paraId="39A8A697" w14:textId="77777777" w:rsidR="007F5E5C" w:rsidRDefault="007F5E5C">
      <w:r>
        <w:continuationSeparator/>
      </w:r>
    </w:p>
  </w:footnote>
  <w:footnote w:type="continuationNotice" w:id="1">
    <w:p w14:paraId="59D7CC19" w14:textId="77777777" w:rsidR="007F5E5C" w:rsidRDefault="007F5E5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E8989" w14:textId="77777777" w:rsidR="00850D11" w:rsidRDefault="00850D11" w:rsidP="00850D11">
    <w:pPr>
      <w:pStyle w:val="Header"/>
      <w:jc w:val="right"/>
      <w:rPr>
        <w:b/>
        <w:sz w:val="16"/>
      </w:rPr>
    </w:pPr>
    <w:r>
      <w:rPr>
        <w:b/>
        <w:sz w:val="16"/>
      </w:rPr>
      <w:t>1</w:t>
    </w:r>
    <w:r>
      <w:rPr>
        <w:b/>
        <w:sz w:val="16"/>
      </w:rPr>
      <w:t> </w:t>
    </w:r>
    <w:r>
      <w:rPr>
        <w:b/>
        <w:sz w:val="16"/>
      </w:rPr>
      <w:t>Contact details</w:t>
    </w:r>
  </w:p>
  <w:p w14:paraId="664F1E37"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FDE7"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7EE47C2D"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4422" w14:textId="77777777" w:rsidR="00850D11" w:rsidRPr="00850D11" w:rsidRDefault="00265DEF" w:rsidP="00850D11">
    <w:pPr>
      <w:pStyle w:val="Header"/>
      <w:jc w:val="right"/>
      <w:rPr>
        <w:b/>
        <w:sz w:val="16"/>
      </w:rPr>
    </w:pPr>
    <w:r>
      <w:rPr>
        <w:b/>
        <w:sz w:val="16"/>
      </w:rPr>
      <w:t>2</w:t>
    </w:r>
    <w:r w:rsidR="00850D11" w:rsidRPr="00850D11">
      <w:rPr>
        <w:b/>
        <w:sz w:val="16"/>
      </w:rPr>
      <w:t xml:space="preserve"> </w:t>
    </w:r>
    <w:r w:rsidR="00D20E3F">
      <w:rPr>
        <w:b/>
        <w:sz w:val="16"/>
      </w:rPr>
      <w:t>About the capital instruments being issued</w:t>
    </w:r>
  </w:p>
  <w:p w14:paraId="15E7A85E"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352C" w14:textId="77777777" w:rsidR="00097B96" w:rsidRPr="00850D11" w:rsidRDefault="00D20E3F" w:rsidP="00850D11">
    <w:pPr>
      <w:pStyle w:val="Header"/>
      <w:jc w:val="right"/>
      <w:rPr>
        <w:b/>
        <w:sz w:val="16"/>
      </w:rPr>
    </w:pPr>
    <w:r>
      <w:rPr>
        <w:b/>
        <w:sz w:val="16"/>
      </w:rPr>
      <w:t>2</w:t>
    </w:r>
    <w:r w:rsidR="00850D11" w:rsidRPr="00850D11">
      <w:rPr>
        <w:b/>
        <w:sz w:val="16"/>
      </w:rPr>
      <w:t xml:space="preserve"> </w:t>
    </w:r>
    <w:r>
      <w:rPr>
        <w:b/>
        <w:sz w:val="16"/>
      </w:rPr>
      <w:t>About the capital instruments being issued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CF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D664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7"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AD812A9"/>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11" w15:restartNumberingAfterBreak="0">
    <w:nsid w:val="21074480"/>
    <w:multiLevelType w:val="hybridMultilevel"/>
    <w:tmpl w:val="8A541F0E"/>
    <w:lvl w:ilvl="0" w:tplc="74EE60F2">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6"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45550840"/>
    <w:multiLevelType w:val="hybridMultilevel"/>
    <w:tmpl w:val="CC4864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75EDA"/>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1B0126F"/>
    <w:multiLevelType w:val="hybridMultilevel"/>
    <w:tmpl w:val="CC4864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2" w15:restartNumberingAfterBreak="0">
    <w:nsid w:val="56AE23F3"/>
    <w:multiLevelType w:val="hybridMultilevel"/>
    <w:tmpl w:val="CC4864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24" w15:restartNumberingAfterBreak="0">
    <w:nsid w:val="622B5C76"/>
    <w:multiLevelType w:val="hybridMultilevel"/>
    <w:tmpl w:val="CC4864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162218"/>
    <w:multiLevelType w:val="hybridMultilevel"/>
    <w:tmpl w:val="6186B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516EF1"/>
    <w:multiLevelType w:val="hybridMultilevel"/>
    <w:tmpl w:val="CB3C4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59012B"/>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46F104E"/>
    <w:multiLevelType w:val="hybridMultilevel"/>
    <w:tmpl w:val="662CFADE"/>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55F0821"/>
    <w:multiLevelType w:val="hybridMultilevel"/>
    <w:tmpl w:val="DAD25E5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8424E29"/>
    <w:multiLevelType w:val="hybridMultilevel"/>
    <w:tmpl w:val="BAAABA46"/>
    <w:lvl w:ilvl="0" w:tplc="A000CB1C">
      <w:start w:val="1"/>
      <w:numFmt w:val="none"/>
      <w:pStyle w:val="FCAHeadingLevel1"/>
      <w:lvlText w:val=""/>
      <w:lvlJc w:val="left"/>
      <w:pPr>
        <w:ind w:left="0" w:firstLine="0"/>
      </w:pPr>
      <w:rPr>
        <w:rFonts w:hint="default"/>
      </w:rPr>
    </w:lvl>
    <w:lvl w:ilvl="1" w:tplc="98C41C74">
      <w:start w:val="1"/>
      <w:numFmt w:val="none"/>
      <w:pStyle w:val="FCAHeadingLevel2"/>
      <w:lvlText w:val=""/>
      <w:lvlJc w:val="left"/>
      <w:pPr>
        <w:tabs>
          <w:tab w:val="num" w:pos="0"/>
        </w:tabs>
        <w:ind w:left="0" w:firstLine="0"/>
      </w:pPr>
      <w:rPr>
        <w:rFonts w:hint="default"/>
      </w:rPr>
    </w:lvl>
    <w:lvl w:ilvl="2" w:tplc="DA0A3828">
      <w:start w:val="1"/>
      <w:numFmt w:val="none"/>
      <w:pStyle w:val="FCAHeadingLevel3"/>
      <w:lvlText w:val=""/>
      <w:lvlJc w:val="left"/>
      <w:pPr>
        <w:tabs>
          <w:tab w:val="num" w:pos="0"/>
        </w:tabs>
        <w:ind w:left="0" w:firstLine="0"/>
      </w:pPr>
      <w:rPr>
        <w:rFonts w:hint="default"/>
      </w:rPr>
    </w:lvl>
    <w:lvl w:ilvl="3" w:tplc="AC0858EC">
      <w:start w:val="1"/>
      <w:numFmt w:val="decimal"/>
      <w:pStyle w:val="FCABodyText"/>
      <w:lvlText w:val=""/>
      <w:lvlJc w:val="left"/>
      <w:pPr>
        <w:tabs>
          <w:tab w:val="num" w:pos="0"/>
        </w:tabs>
        <w:ind w:left="0" w:firstLine="0"/>
      </w:pPr>
      <w:rPr>
        <w:color w:val="auto"/>
      </w:rPr>
    </w:lvl>
    <w:lvl w:ilvl="4" w:tplc="C3D8AF7C">
      <w:start w:val="1"/>
      <w:numFmt w:val="bullet"/>
      <w:lvlRestart w:val="0"/>
      <w:pStyle w:val="FCABulletText"/>
      <w:lvlText w:val=""/>
      <w:lvlJc w:val="left"/>
      <w:pPr>
        <w:tabs>
          <w:tab w:val="num" w:pos="720"/>
        </w:tabs>
        <w:ind w:left="720" w:hanging="720"/>
      </w:pPr>
      <w:rPr>
        <w:rFonts w:ascii="Symbol" w:hAnsi="Symbol" w:hint="default"/>
      </w:rPr>
    </w:lvl>
    <w:lvl w:ilvl="5" w:tplc="F17A5F5C">
      <w:start w:val="1"/>
      <w:numFmt w:val="decimal"/>
      <w:lvlRestart w:val="0"/>
      <w:pStyle w:val="FCABullet123"/>
      <w:lvlText w:val="%6."/>
      <w:lvlJc w:val="left"/>
      <w:pPr>
        <w:tabs>
          <w:tab w:val="num" w:pos="862"/>
        </w:tabs>
        <w:ind w:left="862" w:hanging="720"/>
      </w:pPr>
      <w:rPr>
        <w:rFonts w:hint="default"/>
      </w:rPr>
    </w:lvl>
    <w:lvl w:ilvl="6" w:tplc="8A3CA566">
      <w:start w:val="1"/>
      <w:numFmt w:val="lowerLetter"/>
      <w:lvlRestart w:val="0"/>
      <w:pStyle w:val="FCAIndentabc"/>
      <w:lvlText w:val="%7."/>
      <w:lvlJc w:val="left"/>
      <w:pPr>
        <w:tabs>
          <w:tab w:val="num" w:pos="1691"/>
        </w:tabs>
        <w:ind w:left="1691" w:hanging="698"/>
      </w:pPr>
      <w:rPr>
        <w:rFonts w:hint="default"/>
      </w:rPr>
    </w:lvl>
    <w:lvl w:ilvl="7" w:tplc="C3D8E80A">
      <w:start w:val="1"/>
      <w:numFmt w:val="bullet"/>
      <w:lvlRestart w:val="0"/>
      <w:pStyle w:val="FCAIndentBullet"/>
      <w:lvlText w:val=""/>
      <w:lvlJc w:val="left"/>
      <w:pPr>
        <w:tabs>
          <w:tab w:val="num" w:pos="1418"/>
        </w:tabs>
        <w:ind w:left="1418" w:hanging="698"/>
      </w:pPr>
      <w:rPr>
        <w:rFonts w:ascii="Symbol" w:hAnsi="Symbol" w:hint="default"/>
      </w:rPr>
    </w:lvl>
    <w:lvl w:ilvl="8" w:tplc="8D403C34">
      <w:start w:val="1"/>
      <w:numFmt w:val="lowerRoman"/>
      <w:lvlRestart w:val="0"/>
      <w:pStyle w:val="FCASub-Indentiiiiii"/>
      <w:lvlText w:val="%9."/>
      <w:lvlJc w:val="left"/>
      <w:pPr>
        <w:tabs>
          <w:tab w:val="num" w:pos="2115"/>
        </w:tabs>
        <w:ind w:left="2115" w:hanging="697"/>
      </w:pPr>
      <w:rPr>
        <w:rFonts w:hint="default"/>
      </w:rPr>
    </w:lvl>
  </w:abstractNum>
  <w:num w:numId="1">
    <w:abstractNumId w:val="5"/>
  </w:num>
  <w:num w:numId="2">
    <w:abstractNumId w:val="21"/>
  </w:num>
  <w:num w:numId="3">
    <w:abstractNumId w:val="23"/>
  </w:num>
  <w:num w:numId="4">
    <w:abstractNumId w:val="17"/>
  </w:num>
  <w:num w:numId="5">
    <w:abstractNumId w:val="4"/>
  </w:num>
  <w:num w:numId="6">
    <w:abstractNumId w:val="8"/>
  </w:num>
  <w:num w:numId="7">
    <w:abstractNumId w:val="16"/>
  </w:num>
  <w:num w:numId="8">
    <w:abstractNumId w:val="3"/>
  </w:num>
  <w:num w:numId="9">
    <w:abstractNumId w:val="6"/>
  </w:num>
  <w:num w:numId="10">
    <w:abstractNumId w:val="7"/>
  </w:num>
  <w:num w:numId="11">
    <w:abstractNumId w:val="10"/>
  </w:num>
  <w:num w:numId="12">
    <w:abstractNumId w:val="13"/>
  </w:num>
  <w:num w:numId="13">
    <w:abstractNumId w:val="15"/>
  </w:num>
  <w:num w:numId="14">
    <w:abstractNumId w:val="27"/>
  </w:num>
  <w:num w:numId="15">
    <w:abstractNumId w:val="25"/>
    <w:lvlOverride w:ilvl="0">
      <w:startOverride w:val="1"/>
    </w:lvlOverride>
  </w:num>
  <w:num w:numId="16">
    <w:abstractNumId w:val="25"/>
  </w:num>
  <w:num w:numId="17">
    <w:abstractNumId w:val="14"/>
  </w:num>
  <w:num w:numId="18">
    <w:abstractNumId w:val="2"/>
  </w:num>
  <w:num w:numId="19">
    <w:abstractNumId w:val="12"/>
  </w:num>
  <w:num w:numId="20">
    <w:abstractNumId w:val="28"/>
  </w:num>
  <w:num w:numId="21">
    <w:abstractNumId w:val="29"/>
  </w:num>
  <w:num w:numId="22">
    <w:abstractNumId w:val="0"/>
  </w:num>
  <w:num w:numId="23">
    <w:abstractNumId w:val="26"/>
  </w:num>
  <w:num w:numId="24">
    <w:abstractNumId w:val="31"/>
  </w:num>
  <w:num w:numId="25">
    <w:abstractNumId w:val="9"/>
  </w:num>
  <w:num w:numId="26">
    <w:abstractNumId w:val="19"/>
  </w:num>
  <w:num w:numId="27">
    <w:abstractNumId w:val="1"/>
  </w:num>
  <w:num w:numId="28">
    <w:abstractNumId w:val="32"/>
  </w:num>
  <w:num w:numId="29">
    <w:abstractNumId w:val="30"/>
  </w:num>
  <w:num w:numId="30">
    <w:abstractNumId w:val="20"/>
  </w:num>
  <w:num w:numId="31">
    <w:abstractNumId w:val="11"/>
  </w:num>
  <w:num w:numId="32">
    <w:abstractNumId w:val="22"/>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AwN3W1c2QR89d1qEvcKPaU3FGcC0I6M/H3Hyxjyu5xz3JHV2P1Q69Cv/robKZhZhDmQCjKm2Wk4fANl5u0WCg==" w:salt="R5lv9f3Te/40ndljOeN5bQ=="/>
  <w:defaultTabStop w:val="720"/>
  <w:displayHorizontalDrawingGridEvery w:val="0"/>
  <w:displayVerticalDrawingGridEvery w:val="0"/>
  <w:doNotUseMarginsForDrawingGridOrigin/>
  <w:noPunctuationKerning/>
  <w:characterSpacingControl w:val="doNotCompress"/>
  <w:hdrShapeDefaults>
    <o:shapedefaults v:ext="edit" spidmax="2073"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1E"/>
    <w:rsid w:val="0000251E"/>
    <w:rsid w:val="00002AF3"/>
    <w:rsid w:val="000061CC"/>
    <w:rsid w:val="000068A8"/>
    <w:rsid w:val="00011558"/>
    <w:rsid w:val="000149D2"/>
    <w:rsid w:val="0001530F"/>
    <w:rsid w:val="0001741A"/>
    <w:rsid w:val="00026C84"/>
    <w:rsid w:val="00035593"/>
    <w:rsid w:val="00041C77"/>
    <w:rsid w:val="000442C8"/>
    <w:rsid w:val="0004448F"/>
    <w:rsid w:val="00045153"/>
    <w:rsid w:val="00047382"/>
    <w:rsid w:val="00050B95"/>
    <w:rsid w:val="00050E4B"/>
    <w:rsid w:val="00054015"/>
    <w:rsid w:val="00056A2A"/>
    <w:rsid w:val="00057FA9"/>
    <w:rsid w:val="00060B55"/>
    <w:rsid w:val="00061EDA"/>
    <w:rsid w:val="0006213E"/>
    <w:rsid w:val="0006295B"/>
    <w:rsid w:val="000736EF"/>
    <w:rsid w:val="000869FB"/>
    <w:rsid w:val="00090BBE"/>
    <w:rsid w:val="00092E76"/>
    <w:rsid w:val="00093870"/>
    <w:rsid w:val="00097B96"/>
    <w:rsid w:val="000A08F5"/>
    <w:rsid w:val="000B1E42"/>
    <w:rsid w:val="000B2E3C"/>
    <w:rsid w:val="000B4BFE"/>
    <w:rsid w:val="000C0231"/>
    <w:rsid w:val="000C221B"/>
    <w:rsid w:val="000C3A5F"/>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4482"/>
    <w:rsid w:val="00144853"/>
    <w:rsid w:val="00150F84"/>
    <w:rsid w:val="00151EF0"/>
    <w:rsid w:val="00157095"/>
    <w:rsid w:val="00160E5E"/>
    <w:rsid w:val="001643FE"/>
    <w:rsid w:val="001728D2"/>
    <w:rsid w:val="00173CAB"/>
    <w:rsid w:val="00176152"/>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4853"/>
    <w:rsid w:val="001A5615"/>
    <w:rsid w:val="001A7F88"/>
    <w:rsid w:val="001B0B0E"/>
    <w:rsid w:val="001B1118"/>
    <w:rsid w:val="001B1AB0"/>
    <w:rsid w:val="001B35B1"/>
    <w:rsid w:val="001B408B"/>
    <w:rsid w:val="001B4608"/>
    <w:rsid w:val="001B50F2"/>
    <w:rsid w:val="001B7091"/>
    <w:rsid w:val="001B75D8"/>
    <w:rsid w:val="001C4C3D"/>
    <w:rsid w:val="001C6A07"/>
    <w:rsid w:val="001D25CE"/>
    <w:rsid w:val="001D3584"/>
    <w:rsid w:val="001E220C"/>
    <w:rsid w:val="001E6A99"/>
    <w:rsid w:val="001E7A6E"/>
    <w:rsid w:val="001E7ADA"/>
    <w:rsid w:val="001F12A1"/>
    <w:rsid w:val="001F2C55"/>
    <w:rsid w:val="002023DD"/>
    <w:rsid w:val="00205034"/>
    <w:rsid w:val="002054C3"/>
    <w:rsid w:val="00213BCD"/>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A2F"/>
    <w:rsid w:val="00262E7B"/>
    <w:rsid w:val="00265DEF"/>
    <w:rsid w:val="0026711D"/>
    <w:rsid w:val="00271409"/>
    <w:rsid w:val="00272A42"/>
    <w:rsid w:val="002738D7"/>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19D4"/>
    <w:rsid w:val="002C28C3"/>
    <w:rsid w:val="002C366E"/>
    <w:rsid w:val="002C3E51"/>
    <w:rsid w:val="002C6B18"/>
    <w:rsid w:val="002C74F6"/>
    <w:rsid w:val="002D3EB9"/>
    <w:rsid w:val="002D66E7"/>
    <w:rsid w:val="002E43EA"/>
    <w:rsid w:val="002E5145"/>
    <w:rsid w:val="002F3223"/>
    <w:rsid w:val="002F3DE4"/>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23E58"/>
    <w:rsid w:val="00326AA1"/>
    <w:rsid w:val="00345366"/>
    <w:rsid w:val="00350DE5"/>
    <w:rsid w:val="003548EB"/>
    <w:rsid w:val="00357A5A"/>
    <w:rsid w:val="00360AC1"/>
    <w:rsid w:val="0036354B"/>
    <w:rsid w:val="0036728E"/>
    <w:rsid w:val="003673FA"/>
    <w:rsid w:val="00367A29"/>
    <w:rsid w:val="00367E1D"/>
    <w:rsid w:val="003704B4"/>
    <w:rsid w:val="003704B6"/>
    <w:rsid w:val="003709BB"/>
    <w:rsid w:val="00371164"/>
    <w:rsid w:val="003728F6"/>
    <w:rsid w:val="003800C8"/>
    <w:rsid w:val="00381F40"/>
    <w:rsid w:val="003867BA"/>
    <w:rsid w:val="003907A3"/>
    <w:rsid w:val="00390D2C"/>
    <w:rsid w:val="00391FE7"/>
    <w:rsid w:val="003934A7"/>
    <w:rsid w:val="00393947"/>
    <w:rsid w:val="00396122"/>
    <w:rsid w:val="003968C6"/>
    <w:rsid w:val="003A0536"/>
    <w:rsid w:val="003A1D05"/>
    <w:rsid w:val="003A31CA"/>
    <w:rsid w:val="003A328F"/>
    <w:rsid w:val="003A624D"/>
    <w:rsid w:val="003B02FC"/>
    <w:rsid w:val="003B22AE"/>
    <w:rsid w:val="003C1779"/>
    <w:rsid w:val="003C2E63"/>
    <w:rsid w:val="003C4C82"/>
    <w:rsid w:val="003C630B"/>
    <w:rsid w:val="003D0FB7"/>
    <w:rsid w:val="003D51F0"/>
    <w:rsid w:val="003D60AE"/>
    <w:rsid w:val="003D7545"/>
    <w:rsid w:val="003E0712"/>
    <w:rsid w:val="003E10A9"/>
    <w:rsid w:val="003E15C6"/>
    <w:rsid w:val="003E1C2A"/>
    <w:rsid w:val="003E243B"/>
    <w:rsid w:val="003E3C2F"/>
    <w:rsid w:val="003E7B18"/>
    <w:rsid w:val="003F037E"/>
    <w:rsid w:val="003F47E9"/>
    <w:rsid w:val="004017A6"/>
    <w:rsid w:val="00403A52"/>
    <w:rsid w:val="004061FA"/>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7128"/>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A78D3"/>
    <w:rsid w:val="004B013E"/>
    <w:rsid w:val="004B17BB"/>
    <w:rsid w:val="004B23D4"/>
    <w:rsid w:val="004B3A01"/>
    <w:rsid w:val="004C0C2C"/>
    <w:rsid w:val="004C46CE"/>
    <w:rsid w:val="004C69D5"/>
    <w:rsid w:val="004D3853"/>
    <w:rsid w:val="004D57FF"/>
    <w:rsid w:val="004D7621"/>
    <w:rsid w:val="004E12C4"/>
    <w:rsid w:val="004E226D"/>
    <w:rsid w:val="004E2E84"/>
    <w:rsid w:val="004E3E56"/>
    <w:rsid w:val="004E426C"/>
    <w:rsid w:val="004E4EDA"/>
    <w:rsid w:val="004E611C"/>
    <w:rsid w:val="004E68F7"/>
    <w:rsid w:val="004E6EB8"/>
    <w:rsid w:val="004E7ADA"/>
    <w:rsid w:val="004F28D1"/>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5438"/>
    <w:rsid w:val="00566B3E"/>
    <w:rsid w:val="00572F14"/>
    <w:rsid w:val="0057344C"/>
    <w:rsid w:val="0057578F"/>
    <w:rsid w:val="00580E14"/>
    <w:rsid w:val="005815DD"/>
    <w:rsid w:val="00581ED7"/>
    <w:rsid w:val="00585859"/>
    <w:rsid w:val="005859AE"/>
    <w:rsid w:val="0058743B"/>
    <w:rsid w:val="00591D76"/>
    <w:rsid w:val="005964B1"/>
    <w:rsid w:val="005A0F5D"/>
    <w:rsid w:val="005A1256"/>
    <w:rsid w:val="005A2B83"/>
    <w:rsid w:val="005A431E"/>
    <w:rsid w:val="005A508C"/>
    <w:rsid w:val="005B0F15"/>
    <w:rsid w:val="005B1EB7"/>
    <w:rsid w:val="005B216A"/>
    <w:rsid w:val="005B56DB"/>
    <w:rsid w:val="005B5D24"/>
    <w:rsid w:val="005C0176"/>
    <w:rsid w:val="005C0C93"/>
    <w:rsid w:val="005C610B"/>
    <w:rsid w:val="005C761B"/>
    <w:rsid w:val="005D085D"/>
    <w:rsid w:val="005D2BA8"/>
    <w:rsid w:val="005D319E"/>
    <w:rsid w:val="005E03C9"/>
    <w:rsid w:val="005E3A9C"/>
    <w:rsid w:val="005E564B"/>
    <w:rsid w:val="005F445C"/>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3AF5"/>
    <w:rsid w:val="00645C1B"/>
    <w:rsid w:val="00647A2D"/>
    <w:rsid w:val="00650C0D"/>
    <w:rsid w:val="0065198C"/>
    <w:rsid w:val="006521AE"/>
    <w:rsid w:val="006553E0"/>
    <w:rsid w:val="00656EEC"/>
    <w:rsid w:val="00665EDF"/>
    <w:rsid w:val="006668E7"/>
    <w:rsid w:val="00673DCC"/>
    <w:rsid w:val="0067555F"/>
    <w:rsid w:val="00675C5C"/>
    <w:rsid w:val="00675DC3"/>
    <w:rsid w:val="00676EC6"/>
    <w:rsid w:val="006776C7"/>
    <w:rsid w:val="00680919"/>
    <w:rsid w:val="00681DC1"/>
    <w:rsid w:val="00682003"/>
    <w:rsid w:val="00686032"/>
    <w:rsid w:val="006869EC"/>
    <w:rsid w:val="006925E2"/>
    <w:rsid w:val="00694090"/>
    <w:rsid w:val="00694508"/>
    <w:rsid w:val="006A42D2"/>
    <w:rsid w:val="006B15E4"/>
    <w:rsid w:val="006B4EED"/>
    <w:rsid w:val="006B68A2"/>
    <w:rsid w:val="006C117C"/>
    <w:rsid w:val="006C1D6A"/>
    <w:rsid w:val="006C2D8F"/>
    <w:rsid w:val="006D2992"/>
    <w:rsid w:val="006D2F54"/>
    <w:rsid w:val="006D34AB"/>
    <w:rsid w:val="006D3756"/>
    <w:rsid w:val="006D5E25"/>
    <w:rsid w:val="006D681A"/>
    <w:rsid w:val="006D71B8"/>
    <w:rsid w:val="006D71F4"/>
    <w:rsid w:val="006D7744"/>
    <w:rsid w:val="006E0B99"/>
    <w:rsid w:val="006E117E"/>
    <w:rsid w:val="006E1F96"/>
    <w:rsid w:val="006E3CC1"/>
    <w:rsid w:val="006E48F5"/>
    <w:rsid w:val="006E6FE6"/>
    <w:rsid w:val="006E7A3B"/>
    <w:rsid w:val="006F20D1"/>
    <w:rsid w:val="006F3E98"/>
    <w:rsid w:val="006F795C"/>
    <w:rsid w:val="00701E96"/>
    <w:rsid w:val="0070404C"/>
    <w:rsid w:val="007077DD"/>
    <w:rsid w:val="007077E1"/>
    <w:rsid w:val="00715591"/>
    <w:rsid w:val="007157D6"/>
    <w:rsid w:val="00716F97"/>
    <w:rsid w:val="00720608"/>
    <w:rsid w:val="00724145"/>
    <w:rsid w:val="00724D26"/>
    <w:rsid w:val="0072662F"/>
    <w:rsid w:val="00732D1A"/>
    <w:rsid w:val="00732F4B"/>
    <w:rsid w:val="00740366"/>
    <w:rsid w:val="00740C54"/>
    <w:rsid w:val="00745D7A"/>
    <w:rsid w:val="007476E1"/>
    <w:rsid w:val="0075007E"/>
    <w:rsid w:val="00751A3B"/>
    <w:rsid w:val="007522DE"/>
    <w:rsid w:val="00754C74"/>
    <w:rsid w:val="007617BB"/>
    <w:rsid w:val="00767C20"/>
    <w:rsid w:val="007701DA"/>
    <w:rsid w:val="007756D2"/>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31E2"/>
    <w:rsid w:val="007D412C"/>
    <w:rsid w:val="007D4699"/>
    <w:rsid w:val="007D5A0A"/>
    <w:rsid w:val="007D71DD"/>
    <w:rsid w:val="007D76B0"/>
    <w:rsid w:val="007F0047"/>
    <w:rsid w:val="007F01BE"/>
    <w:rsid w:val="007F0F98"/>
    <w:rsid w:val="007F33F2"/>
    <w:rsid w:val="007F3F57"/>
    <w:rsid w:val="007F5E5C"/>
    <w:rsid w:val="007F7CF5"/>
    <w:rsid w:val="008014D5"/>
    <w:rsid w:val="0080243C"/>
    <w:rsid w:val="008039E4"/>
    <w:rsid w:val="008044EB"/>
    <w:rsid w:val="008047DB"/>
    <w:rsid w:val="008055FF"/>
    <w:rsid w:val="00805D73"/>
    <w:rsid w:val="0081114E"/>
    <w:rsid w:val="00811848"/>
    <w:rsid w:val="00812506"/>
    <w:rsid w:val="00813EBA"/>
    <w:rsid w:val="00816BCC"/>
    <w:rsid w:val="008229AF"/>
    <w:rsid w:val="008257F5"/>
    <w:rsid w:val="00825D9C"/>
    <w:rsid w:val="008266DA"/>
    <w:rsid w:val="00830F37"/>
    <w:rsid w:val="00831BE2"/>
    <w:rsid w:val="00834454"/>
    <w:rsid w:val="008402B3"/>
    <w:rsid w:val="00842101"/>
    <w:rsid w:val="00843136"/>
    <w:rsid w:val="0084316C"/>
    <w:rsid w:val="00843777"/>
    <w:rsid w:val="00847B26"/>
    <w:rsid w:val="00850D11"/>
    <w:rsid w:val="008523E8"/>
    <w:rsid w:val="00852D92"/>
    <w:rsid w:val="008549F7"/>
    <w:rsid w:val="00855F92"/>
    <w:rsid w:val="00856461"/>
    <w:rsid w:val="0085685F"/>
    <w:rsid w:val="00857FAA"/>
    <w:rsid w:val="008615EE"/>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6E87"/>
    <w:rsid w:val="008C17BD"/>
    <w:rsid w:val="008C1B19"/>
    <w:rsid w:val="008C1D44"/>
    <w:rsid w:val="008C216C"/>
    <w:rsid w:val="008C3CDC"/>
    <w:rsid w:val="008C6733"/>
    <w:rsid w:val="008D3B46"/>
    <w:rsid w:val="008D3FDE"/>
    <w:rsid w:val="008E0673"/>
    <w:rsid w:val="008E165E"/>
    <w:rsid w:val="008E47C9"/>
    <w:rsid w:val="008E4ACA"/>
    <w:rsid w:val="008E4CE1"/>
    <w:rsid w:val="008F3AE3"/>
    <w:rsid w:val="008F5A4B"/>
    <w:rsid w:val="0090243B"/>
    <w:rsid w:val="00904152"/>
    <w:rsid w:val="00905B77"/>
    <w:rsid w:val="009069B1"/>
    <w:rsid w:val="009104F3"/>
    <w:rsid w:val="00913EA1"/>
    <w:rsid w:val="009146B5"/>
    <w:rsid w:val="00917214"/>
    <w:rsid w:val="009173EF"/>
    <w:rsid w:val="00923BB1"/>
    <w:rsid w:val="00925681"/>
    <w:rsid w:val="009276C1"/>
    <w:rsid w:val="00934F4D"/>
    <w:rsid w:val="00937902"/>
    <w:rsid w:val="009409AA"/>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DCB"/>
    <w:rsid w:val="00976974"/>
    <w:rsid w:val="009773F8"/>
    <w:rsid w:val="0097787C"/>
    <w:rsid w:val="00983825"/>
    <w:rsid w:val="009909D6"/>
    <w:rsid w:val="00990DBD"/>
    <w:rsid w:val="00991B9D"/>
    <w:rsid w:val="00995ED4"/>
    <w:rsid w:val="0099685F"/>
    <w:rsid w:val="00996CBB"/>
    <w:rsid w:val="009974FA"/>
    <w:rsid w:val="009A1040"/>
    <w:rsid w:val="009A318B"/>
    <w:rsid w:val="009A3276"/>
    <w:rsid w:val="009A5E3B"/>
    <w:rsid w:val="009A60B7"/>
    <w:rsid w:val="009B1B2B"/>
    <w:rsid w:val="009C2D3D"/>
    <w:rsid w:val="009C5248"/>
    <w:rsid w:val="009D0739"/>
    <w:rsid w:val="009D3C4E"/>
    <w:rsid w:val="009D638D"/>
    <w:rsid w:val="009E3321"/>
    <w:rsid w:val="009E3F45"/>
    <w:rsid w:val="009E5A22"/>
    <w:rsid w:val="009E7F90"/>
    <w:rsid w:val="009F5E99"/>
    <w:rsid w:val="009F6CDF"/>
    <w:rsid w:val="009F6E06"/>
    <w:rsid w:val="00A0479F"/>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80E6F"/>
    <w:rsid w:val="00A82C90"/>
    <w:rsid w:val="00A83DFB"/>
    <w:rsid w:val="00A852DA"/>
    <w:rsid w:val="00A90767"/>
    <w:rsid w:val="00A92845"/>
    <w:rsid w:val="00A975B7"/>
    <w:rsid w:val="00AA398B"/>
    <w:rsid w:val="00AA6712"/>
    <w:rsid w:val="00AB05DE"/>
    <w:rsid w:val="00AB0AF3"/>
    <w:rsid w:val="00AB0E1E"/>
    <w:rsid w:val="00AB22CB"/>
    <w:rsid w:val="00AB29E5"/>
    <w:rsid w:val="00AB467F"/>
    <w:rsid w:val="00AC38BA"/>
    <w:rsid w:val="00AC79B4"/>
    <w:rsid w:val="00AD19C6"/>
    <w:rsid w:val="00AD1C4C"/>
    <w:rsid w:val="00AD25A9"/>
    <w:rsid w:val="00AD25D3"/>
    <w:rsid w:val="00AD4444"/>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DA5"/>
    <w:rsid w:val="00B159C9"/>
    <w:rsid w:val="00B15FF5"/>
    <w:rsid w:val="00B237EC"/>
    <w:rsid w:val="00B2633D"/>
    <w:rsid w:val="00B27DEC"/>
    <w:rsid w:val="00B31846"/>
    <w:rsid w:val="00B419D7"/>
    <w:rsid w:val="00B420FE"/>
    <w:rsid w:val="00B446DF"/>
    <w:rsid w:val="00B45FFA"/>
    <w:rsid w:val="00B50190"/>
    <w:rsid w:val="00B51709"/>
    <w:rsid w:val="00B51AA7"/>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A7EA1"/>
    <w:rsid w:val="00BB1D40"/>
    <w:rsid w:val="00BB2E3F"/>
    <w:rsid w:val="00BB44BD"/>
    <w:rsid w:val="00BB50DF"/>
    <w:rsid w:val="00BB58E5"/>
    <w:rsid w:val="00BB6B3A"/>
    <w:rsid w:val="00BB6FBB"/>
    <w:rsid w:val="00BC6528"/>
    <w:rsid w:val="00BD1E6A"/>
    <w:rsid w:val="00BD7609"/>
    <w:rsid w:val="00BE01EF"/>
    <w:rsid w:val="00BE1B5A"/>
    <w:rsid w:val="00BF70AE"/>
    <w:rsid w:val="00BF75CE"/>
    <w:rsid w:val="00C00611"/>
    <w:rsid w:val="00C02D79"/>
    <w:rsid w:val="00C065DC"/>
    <w:rsid w:val="00C06BE3"/>
    <w:rsid w:val="00C10D9A"/>
    <w:rsid w:val="00C140D3"/>
    <w:rsid w:val="00C15972"/>
    <w:rsid w:val="00C2280A"/>
    <w:rsid w:val="00C240A1"/>
    <w:rsid w:val="00C24953"/>
    <w:rsid w:val="00C25328"/>
    <w:rsid w:val="00C270AF"/>
    <w:rsid w:val="00C3011D"/>
    <w:rsid w:val="00C36FAE"/>
    <w:rsid w:val="00C41BB4"/>
    <w:rsid w:val="00C4331E"/>
    <w:rsid w:val="00C57021"/>
    <w:rsid w:val="00C57098"/>
    <w:rsid w:val="00C579BC"/>
    <w:rsid w:val="00C61486"/>
    <w:rsid w:val="00C632D8"/>
    <w:rsid w:val="00C63CFD"/>
    <w:rsid w:val="00C650E5"/>
    <w:rsid w:val="00C6518B"/>
    <w:rsid w:val="00C7604D"/>
    <w:rsid w:val="00C76EA6"/>
    <w:rsid w:val="00C7733E"/>
    <w:rsid w:val="00C77EDB"/>
    <w:rsid w:val="00C81FA1"/>
    <w:rsid w:val="00C82EB0"/>
    <w:rsid w:val="00C9360A"/>
    <w:rsid w:val="00C962A0"/>
    <w:rsid w:val="00CA0448"/>
    <w:rsid w:val="00CA450A"/>
    <w:rsid w:val="00CA6F9E"/>
    <w:rsid w:val="00CB17DA"/>
    <w:rsid w:val="00CB6B58"/>
    <w:rsid w:val="00CB7F9E"/>
    <w:rsid w:val="00CC1AF7"/>
    <w:rsid w:val="00CC4CE6"/>
    <w:rsid w:val="00CC51C2"/>
    <w:rsid w:val="00CD1DBE"/>
    <w:rsid w:val="00CD2E65"/>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0E3F"/>
    <w:rsid w:val="00D21538"/>
    <w:rsid w:val="00D222EB"/>
    <w:rsid w:val="00D2290E"/>
    <w:rsid w:val="00D26DF2"/>
    <w:rsid w:val="00D27604"/>
    <w:rsid w:val="00D32F02"/>
    <w:rsid w:val="00D350DE"/>
    <w:rsid w:val="00D36DED"/>
    <w:rsid w:val="00D41436"/>
    <w:rsid w:val="00D42987"/>
    <w:rsid w:val="00D4379B"/>
    <w:rsid w:val="00D4475A"/>
    <w:rsid w:val="00D4588F"/>
    <w:rsid w:val="00D45A41"/>
    <w:rsid w:val="00D45CF4"/>
    <w:rsid w:val="00D45EE3"/>
    <w:rsid w:val="00D47CD9"/>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A4432"/>
    <w:rsid w:val="00DB137C"/>
    <w:rsid w:val="00DB26B1"/>
    <w:rsid w:val="00DB3D0F"/>
    <w:rsid w:val="00DB4E96"/>
    <w:rsid w:val="00DC447C"/>
    <w:rsid w:val="00DD1825"/>
    <w:rsid w:val="00DD219C"/>
    <w:rsid w:val="00DD2A4A"/>
    <w:rsid w:val="00DD4B5D"/>
    <w:rsid w:val="00DD694F"/>
    <w:rsid w:val="00DD6B14"/>
    <w:rsid w:val="00DE1D2F"/>
    <w:rsid w:val="00DE3427"/>
    <w:rsid w:val="00DE4C84"/>
    <w:rsid w:val="00DE6AF6"/>
    <w:rsid w:val="00DF50F7"/>
    <w:rsid w:val="00DF6268"/>
    <w:rsid w:val="00DF6C7D"/>
    <w:rsid w:val="00E01F31"/>
    <w:rsid w:val="00E104C6"/>
    <w:rsid w:val="00E112F7"/>
    <w:rsid w:val="00E14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4735C"/>
    <w:rsid w:val="00E50821"/>
    <w:rsid w:val="00E519F9"/>
    <w:rsid w:val="00E51F86"/>
    <w:rsid w:val="00E5314D"/>
    <w:rsid w:val="00E53AD2"/>
    <w:rsid w:val="00E55A45"/>
    <w:rsid w:val="00E57664"/>
    <w:rsid w:val="00E62A90"/>
    <w:rsid w:val="00E63B63"/>
    <w:rsid w:val="00E70AEF"/>
    <w:rsid w:val="00E84157"/>
    <w:rsid w:val="00E86B10"/>
    <w:rsid w:val="00E8763A"/>
    <w:rsid w:val="00E9153D"/>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2EF3"/>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15EA"/>
    <w:rsid w:val="00F350BD"/>
    <w:rsid w:val="00F3651C"/>
    <w:rsid w:val="00F4684E"/>
    <w:rsid w:val="00F473CE"/>
    <w:rsid w:val="00F53CC5"/>
    <w:rsid w:val="00F53D05"/>
    <w:rsid w:val="00F55302"/>
    <w:rsid w:val="00F55861"/>
    <w:rsid w:val="00F55B1F"/>
    <w:rsid w:val="00F57AEE"/>
    <w:rsid w:val="00F63F0B"/>
    <w:rsid w:val="00F642CA"/>
    <w:rsid w:val="00F663F8"/>
    <w:rsid w:val="00F66BDA"/>
    <w:rsid w:val="00F6709F"/>
    <w:rsid w:val="00F670EC"/>
    <w:rsid w:val="00F671B8"/>
    <w:rsid w:val="00F71476"/>
    <w:rsid w:val="00F74AFA"/>
    <w:rsid w:val="00F77F7C"/>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C8C"/>
    <w:rsid w:val="00FD38D3"/>
    <w:rsid w:val="00FD5810"/>
    <w:rsid w:val="00FE24D3"/>
    <w:rsid w:val="00FE33F1"/>
    <w:rsid w:val="00FF1577"/>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color="#e0abed" stroke="f">
      <v:fill color="#e0abed"/>
      <v:stroke on="f"/>
      <o:colormru v:ext="edit" colors="#903,#ccf,#e0abed,#e9c4f2,#e2e4b4,#963,#d4cb86,#4ec115"/>
    </o:shapedefaults>
    <o:shapelayout v:ext="edit">
      <o:idmap v:ext="edit" data="1"/>
    </o:shapelayout>
  </w:shapeDefaults>
  <w:decimalSymbol w:val="."/>
  <w:listSeparator w:val=","/>
  <w14:docId w14:val="5BCCE802"/>
  <w15:chartTrackingRefBased/>
  <w15:docId w15:val="{8A21ECDA-B89A-46D8-A9EF-B3F24074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6E1"/>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customStyle="1" w:styleId="FCABullet123-option">
    <w:name w:val="FCA Bullet 1_2_3 - option"/>
    <w:uiPriority w:val="1"/>
    <w:rsid w:val="00B31846"/>
    <w:pPr>
      <w:spacing w:after="240" w:line="264" w:lineRule="auto"/>
      <w:ind w:left="862"/>
    </w:pPr>
    <w:rPr>
      <w:rFonts w:ascii="Verdana" w:eastAsia="MS Mincho" w:hAnsi="Verdana"/>
    </w:rPr>
  </w:style>
  <w:style w:type="paragraph" w:customStyle="1" w:styleId="FCAIndentabc">
    <w:name w:val="FCA Indent a_b_c"/>
    <w:basedOn w:val="ListParagraph"/>
    <w:uiPriority w:val="6"/>
    <w:qFormat/>
    <w:rsid w:val="0084316C"/>
    <w:pPr>
      <w:numPr>
        <w:ilvl w:val="6"/>
        <w:numId w:val="28"/>
      </w:numPr>
      <w:tabs>
        <w:tab w:val="clear" w:pos="1691"/>
        <w:tab w:val="num" w:pos="360"/>
        <w:tab w:val="num" w:pos="4680"/>
      </w:tabs>
      <w:spacing w:before="0" w:line="264" w:lineRule="auto"/>
      <w:ind w:left="720" w:firstLine="0"/>
    </w:pPr>
    <w:rPr>
      <w:rFonts w:ascii="Verdana" w:eastAsia="MS Mincho" w:hAnsi="Verdana"/>
      <w:sz w:val="18"/>
      <w:szCs w:val="16"/>
    </w:rPr>
  </w:style>
  <w:style w:type="paragraph" w:customStyle="1" w:styleId="FCABodyText">
    <w:name w:val="FCA Body Text"/>
    <w:basedOn w:val="Normal"/>
    <w:uiPriority w:val="5"/>
    <w:qFormat/>
    <w:rsid w:val="0084316C"/>
    <w:pPr>
      <w:numPr>
        <w:ilvl w:val="3"/>
        <w:numId w:val="28"/>
      </w:numPr>
      <w:spacing w:before="0" w:line="264" w:lineRule="auto"/>
    </w:pPr>
    <w:rPr>
      <w:rFonts w:ascii="Verdana" w:eastAsia="MS Mincho" w:hAnsi="Verdana"/>
      <w:sz w:val="22"/>
    </w:rPr>
  </w:style>
  <w:style w:type="paragraph" w:customStyle="1" w:styleId="FCABulletText">
    <w:name w:val="FCA Bullet Text"/>
    <w:basedOn w:val="FCABodyText"/>
    <w:uiPriority w:val="5"/>
    <w:qFormat/>
    <w:rsid w:val="0084316C"/>
    <w:pPr>
      <w:numPr>
        <w:ilvl w:val="4"/>
      </w:numPr>
    </w:pPr>
  </w:style>
  <w:style w:type="paragraph" w:customStyle="1" w:styleId="FCAIndentBullet">
    <w:name w:val="FCA Indent Bullet"/>
    <w:basedOn w:val="Normal"/>
    <w:uiPriority w:val="6"/>
    <w:qFormat/>
    <w:rsid w:val="0084316C"/>
    <w:pPr>
      <w:numPr>
        <w:ilvl w:val="7"/>
        <w:numId w:val="28"/>
      </w:numPr>
      <w:spacing w:before="0" w:line="264" w:lineRule="auto"/>
    </w:pPr>
    <w:rPr>
      <w:rFonts w:ascii="Verdana" w:eastAsia="MS Mincho" w:hAnsi="Verdana"/>
      <w:sz w:val="22"/>
    </w:rPr>
  </w:style>
  <w:style w:type="paragraph" w:customStyle="1" w:styleId="FCAHeadingLevel2">
    <w:name w:val="FCA Heading Level 2"/>
    <w:basedOn w:val="Normal"/>
    <w:uiPriority w:val="4"/>
    <w:qFormat/>
    <w:rsid w:val="0084316C"/>
    <w:pPr>
      <w:numPr>
        <w:ilvl w:val="1"/>
        <w:numId w:val="28"/>
      </w:numPr>
      <w:spacing w:before="240" w:line="264" w:lineRule="auto"/>
    </w:pPr>
    <w:rPr>
      <w:rFonts w:ascii="Verdana" w:eastAsia="MS Mincho" w:hAnsi="Verdana"/>
      <w:b/>
      <w:sz w:val="21"/>
      <w:szCs w:val="21"/>
    </w:rPr>
  </w:style>
  <w:style w:type="paragraph" w:customStyle="1" w:styleId="FCAHeadingLevel3">
    <w:name w:val="FCA Heading Level 3"/>
    <w:basedOn w:val="Normal"/>
    <w:uiPriority w:val="4"/>
    <w:qFormat/>
    <w:rsid w:val="0084316C"/>
    <w:pPr>
      <w:numPr>
        <w:ilvl w:val="2"/>
        <w:numId w:val="28"/>
      </w:numPr>
      <w:spacing w:before="0" w:after="120" w:line="264" w:lineRule="auto"/>
    </w:pPr>
    <w:rPr>
      <w:rFonts w:ascii="Verdana" w:eastAsia="MS Mincho" w:hAnsi="Verdana"/>
      <w:b/>
      <w:i/>
    </w:rPr>
  </w:style>
  <w:style w:type="paragraph" w:customStyle="1" w:styleId="FCABullet123">
    <w:name w:val="FCA Bullet 1_2_3"/>
    <w:uiPriority w:val="6"/>
    <w:qFormat/>
    <w:rsid w:val="0084316C"/>
    <w:pPr>
      <w:numPr>
        <w:ilvl w:val="5"/>
        <w:numId w:val="28"/>
      </w:numPr>
      <w:spacing w:after="240" w:line="264" w:lineRule="auto"/>
    </w:pPr>
    <w:rPr>
      <w:rFonts w:ascii="Verdana" w:eastAsia="MS Mincho" w:hAnsi="Verdana"/>
    </w:rPr>
  </w:style>
  <w:style w:type="paragraph" w:customStyle="1" w:styleId="FCASub-Indentiiiiii">
    <w:name w:val="FCA Sub-Indent i_ii_iii"/>
    <w:uiPriority w:val="6"/>
    <w:qFormat/>
    <w:rsid w:val="0084316C"/>
    <w:pPr>
      <w:numPr>
        <w:ilvl w:val="8"/>
        <w:numId w:val="28"/>
      </w:numPr>
      <w:spacing w:after="240" w:line="264" w:lineRule="auto"/>
    </w:pPr>
    <w:rPr>
      <w:rFonts w:ascii="Verdana" w:eastAsia="MS Mincho" w:hAnsi="Verdana"/>
      <w:sz w:val="22"/>
    </w:rPr>
  </w:style>
  <w:style w:type="paragraph" w:customStyle="1" w:styleId="FCAHeadingLevel1">
    <w:name w:val="FCA Heading Level 1"/>
    <w:uiPriority w:val="4"/>
    <w:qFormat/>
    <w:rsid w:val="0084316C"/>
    <w:pPr>
      <w:numPr>
        <w:numId w:val="28"/>
      </w:numPr>
      <w:tabs>
        <w:tab w:val="left" w:pos="0"/>
      </w:tabs>
      <w:spacing w:before="480" w:after="240" w:line="264" w:lineRule="auto"/>
    </w:pPr>
    <w:rPr>
      <w:rFonts w:ascii="Verdana" w:hAnsi="Verdana"/>
      <w:b/>
      <w:bCs/>
      <w:sz w:val="22"/>
      <w:szCs w:val="22"/>
      <w:lang w:eastAsia="en-US"/>
    </w:rPr>
  </w:style>
  <w:style w:type="paragraph" w:styleId="ListParagraph">
    <w:name w:val="List Paragraph"/>
    <w:basedOn w:val="Normal"/>
    <w:uiPriority w:val="34"/>
    <w:qFormat/>
    <w:rsid w:val="0084316C"/>
    <w:pPr>
      <w:ind w:left="720"/>
    </w:pPr>
  </w:style>
  <w:style w:type="paragraph" w:styleId="Revision">
    <w:name w:val="Revision"/>
    <w:hidden/>
    <w:uiPriority w:val="99"/>
    <w:semiHidden/>
    <w:rsid w:val="00E112F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4163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4.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Info xmlns="http://schemas.microsoft.com/office/infopath/2007/PartnerControls">
          <TermName xmlns="http://schemas.microsoft.com/office/infopath/2007/PartnerControls">Corporate Documents</TermName>
          <TermId xmlns="http://schemas.microsoft.com/office/infopath/2007/PartnerControls">c940c4d1-7a9e-42e1-9573-03f9b6dc2299</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61</Value>
      <Value>60</Value>
      <Value>3</Value>
      <Value>1</Value>
    </TaxCatchAll>
    <fca_livelink_recstatus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fca_retention_trg_date xmlns="http://schemas.microsoft.com/sharepoint/v3" xsi:nil="true"/>
    <fca_livelink_recstatus_date xmlns="http://schemas.microsoft.com/sharepoint/v3" xsi:nil="true"/>
    <fca_mig_partial_path xmlns="http://schemas.microsoft.com/sharepoint/v3" xsi:nil="true"/>
    <_dlc_DocId xmlns="964f0a7c-bcf0-4337-b577-3747e0a5c4bc">7A2UM2KYKSJP-935211081-18</_dlc_DocId>
    <_dlc_DocIdUrl xmlns="964f0a7c-bcf0-4337-b577-3747e0a5c4bc">
      <Url>https://thefca.sharepoint.com/sites/ProForandMap/_layouts/15/DocIdRedir.aspx?ID=7A2UM2KYKSJP-935211081-18</Url>
      <Description>7A2UM2KYKSJP-935211081-18</Description>
    </_dlc_DocIdUrl>
    <_dlc_DocIdPersistId xmlns="964f0a7c-bcf0-4337-b577-3747e0a5c4bc">true</_dlc_DocIdPersistId>
    <Is_FirstChKInDone xmlns="http://schemas.microsoft.com/sharepoint/v3">Yes</Is_FirstChKInDone>
    <fca_mig_stage_2 xmlns="964f0a7c-bcf0-4337-b577-3747e0a5c4bc" xsi:nil="true"/>
    <fca_prop_ret_label xmlns="http://schemas.microsoft.com/sharepoint/v3" xsi:nil="true"/>
    <fca_livelink_local_metadata xmlns="964f0a7c-bcf0-4337-b577-3747e0a5c4bc" xsi:nil="true"/>
    <fca_livelink_accessed_date xmlns="http://schemas.microsoft.com/sharepoint/v3" xsi:nil="true"/>
    <fca_mig_stage xmlns="964f0a7c-bcf0-4337-b577-3747e0a5c4bc">0</fca_mig_stage>
  </documentManagement>
</p:properties>
</file>

<file path=customXml/item5.xml><?xml version="1.0" encoding="utf-8"?>
<?mso-contentType ?>
<SharedContentType xmlns="Microsoft.SharePoint.Taxonomy.ContentTypeSync" SourceId="141bad0b-5ec6-4ecd-811e-f9d8ff358b9c" ContentTypeId="0x0101005A9549D9A06FAF49B2796176C16A6E111817"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709C6D-DD31-489B-8082-E00225DEF411}">
  <ds:schemaRefs>
    <ds:schemaRef ds:uri="http://schemas.microsoft.com/sharepoint/events"/>
  </ds:schemaRefs>
</ds:datastoreItem>
</file>

<file path=customXml/itemProps2.xml><?xml version="1.0" encoding="utf-8"?>
<ds:datastoreItem xmlns:ds="http://schemas.openxmlformats.org/officeDocument/2006/customXml" ds:itemID="{98DEB80D-4DAE-4E40-85F4-C54A183D0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D942D-BE59-416E-975E-669BFDA5153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6B53254-E131-4C9A-B26D-7AD27331B9E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9AD46A5-BD33-46CC-B97F-C2EC8DBDAC98}">
  <ds:schemaRefs>
    <ds:schemaRef ds:uri="Microsoft.SharePoint.Taxonomy.ContentTypeSync"/>
  </ds:schemaRefs>
</ds:datastoreItem>
</file>

<file path=customXml/itemProps6.xml><?xml version="1.0" encoding="utf-8"?>
<ds:datastoreItem xmlns:ds="http://schemas.openxmlformats.org/officeDocument/2006/customXml" ds:itemID="{1F7B51C9-62C7-494E-90AD-B5F38A7511AE}">
  <ds:schemaRefs>
    <ds:schemaRef ds:uri="http://schemas.openxmlformats.org/officeDocument/2006/bibliography"/>
  </ds:schemaRefs>
</ds:datastoreItem>
</file>

<file path=customXml/itemProps7.xml><?xml version="1.0" encoding="utf-8"?>
<ds:datastoreItem xmlns:ds="http://schemas.openxmlformats.org/officeDocument/2006/customXml" ds:itemID="{4DE860E5-4AB5-4E7D-AD83-E59BC347B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8390</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2021-11-30T11:34:00Z</dcterms:created>
  <dcterms:modified xsi:type="dcterms:W3CDTF">2021-11-30T11:34:00Z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7A2UM2KYKSJP-935211081-18</vt:lpwstr>
  </property>
  <property fmtid="{D5CDD505-2E9C-101B-9397-08002B2CF9AE}" pid="8" name="_dlc_DocIdItemGuid">
    <vt:lpwstr>212eae62-f0bb-4bdf-a875-8db2e5a07eb6</vt:lpwstr>
  </property>
  <property fmtid="{D5CDD505-2E9C-101B-9397-08002B2CF9AE}" pid="9" name="_dlc_DocIdUrl">
    <vt:lpwstr>https://thefca.sharepoint.com/sites/ProForandMap/_layouts/15/DocIdRedir.aspx?ID=7A2UM2KYKSJP-935211081-18, 7A2UM2KYKSJP-935211081-18</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