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AA8FFC" w14:textId="77777777" w:rsidR="00E74965" w:rsidRDefault="00E74965">
      <w:pPr>
        <w:rPr>
          <w:b/>
          <w:i/>
        </w:rPr>
      </w:pPr>
      <w:r>
        <w:rPr>
          <w:b/>
          <w:i/>
          <w:noProof/>
        </w:rPr>
        <w:drawing>
          <wp:anchor distT="0" distB="0" distL="114300" distR="114300" simplePos="0" relativeHeight="251658240" behindDoc="0" locked="0" layoutInCell="1" allowOverlap="1" wp14:anchorId="5C27A60C" wp14:editId="7819F29F">
            <wp:simplePos x="0" y="0"/>
            <wp:positionH relativeFrom="column">
              <wp:posOffset>5643245</wp:posOffset>
            </wp:positionH>
            <wp:positionV relativeFrom="paragraph">
              <wp:posOffset>-914082</wp:posOffset>
            </wp:positionV>
            <wp:extent cx="3463290" cy="1480185"/>
            <wp:effectExtent l="0" t="0" r="381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6266E0" w14:textId="77777777" w:rsidR="00E74965" w:rsidRDefault="00E74965" w:rsidP="00D359FA">
      <w:pPr>
        <w:tabs>
          <w:tab w:val="right" w:pos="5103"/>
        </w:tabs>
        <w:rPr>
          <w:rFonts w:ascii="Book Antiqua" w:hAnsi="Book Antiqua"/>
          <w:b/>
          <w:sz w:val="28"/>
          <w:szCs w:val="28"/>
        </w:rPr>
      </w:pPr>
    </w:p>
    <w:p w14:paraId="1B117F49" w14:textId="77777777" w:rsidR="00E74965" w:rsidRPr="00E74965" w:rsidRDefault="00E74965" w:rsidP="00D359FA">
      <w:pPr>
        <w:tabs>
          <w:tab w:val="right" w:pos="5103"/>
        </w:tabs>
        <w:rPr>
          <w:rFonts w:ascii="Verdana" w:hAnsi="Verdana"/>
          <w:b/>
          <w:sz w:val="28"/>
          <w:szCs w:val="28"/>
        </w:rPr>
      </w:pPr>
      <w:r w:rsidRPr="00E74965">
        <w:rPr>
          <w:rFonts w:ascii="Verdana" w:hAnsi="Verdana"/>
          <w:b/>
          <w:sz w:val="28"/>
          <w:szCs w:val="28"/>
        </w:rPr>
        <w:t>Annex 3 Article 23/FUND 3.2.2R Disclosures: cross-referenced to documents available to potential investors</w:t>
      </w:r>
    </w:p>
    <w:p w14:paraId="094CDA2E" w14:textId="77777777" w:rsidR="00E74965" w:rsidRPr="00291DA9" w:rsidRDefault="00E74965" w:rsidP="00D359FA">
      <w:pPr>
        <w:tabs>
          <w:tab w:val="right" w:pos="5103"/>
        </w:tabs>
        <w:rPr>
          <w:rFonts w:ascii="Verdana" w:hAnsi="Verdana"/>
          <w:b/>
          <w:sz w:val="18"/>
          <w:szCs w:val="18"/>
        </w:rPr>
      </w:pPr>
      <w:r>
        <w:rPr>
          <w:rFonts w:ascii="Verdana" w:hAnsi="Verdana"/>
          <w:b/>
          <w:sz w:val="18"/>
          <w:szCs w:val="18"/>
        </w:rPr>
        <w:t>Complete one form for each AIF or sub-fund/compartment of an AIF, unless the cross-reference is applicable to more than one sub-fund or compartment of an AIF in which case please select the appropriate box below and list the sub-funds or compartments relevant to each cross-reference document. References to AIFs should be interpreted to apply to sub-funds where applicable.</w:t>
      </w:r>
    </w:p>
    <w:p w14:paraId="645AD533" w14:textId="77777777" w:rsidR="00E74965" w:rsidRPr="00917A5C" w:rsidRDefault="00E74965" w:rsidP="00813FDB">
      <w:pPr>
        <w:pStyle w:val="Question"/>
        <w:keepNext/>
        <w:rPr>
          <w:rFonts w:ascii="Verdana" w:hAnsi="Verdana"/>
          <w:b/>
        </w:rPr>
      </w:pPr>
      <w:r w:rsidRPr="00917A5C">
        <w:rPr>
          <w:rFonts w:ascii="Verdana" w:hAnsi="Verdana"/>
          <w:b/>
        </w:rPr>
        <w:tab/>
      </w:r>
      <w:r w:rsidRPr="00917A5C">
        <w:rPr>
          <w:rFonts w:ascii="Verdana" w:hAnsi="Verdana"/>
          <w:b/>
        </w:rPr>
        <w:tab/>
      </w:r>
      <w:r>
        <w:rPr>
          <w:rFonts w:ascii="Verdana" w:hAnsi="Verdana"/>
          <w:b/>
        </w:rPr>
        <w:t>Applicant name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74965" w:rsidRPr="00E74965" w14:paraId="44A18A7D" w14:textId="77777777" w:rsidTr="002A1559">
        <w:trPr>
          <w:trHeight w:val="397"/>
        </w:trPr>
        <w:tc>
          <w:tcPr>
            <w:tcW w:w="7088" w:type="dxa"/>
            <w:vAlign w:val="center"/>
          </w:tcPr>
          <w:p w14:paraId="0BB1F21A" w14:textId="77777777" w:rsidR="00E74965" w:rsidRPr="00E74965" w:rsidRDefault="00E74965" w:rsidP="002A1559">
            <w:pPr>
              <w:pStyle w:val="Qsanswer"/>
              <w:keepNext/>
              <w:spacing w:before="20" w:after="0"/>
              <w:ind w:right="57"/>
              <w:rPr>
                <w:rFonts w:ascii="Verdana" w:hAnsi="Verdana"/>
                <w:color w:val="auto"/>
              </w:rPr>
            </w:pPr>
            <w:r w:rsidRPr="00E74965">
              <w:rPr>
                <w:rFonts w:ascii="Verdana" w:hAnsi="Verdana"/>
                <w:color w:val="auto"/>
              </w:rPr>
              <w:fldChar w:fldCharType="begin">
                <w:ffData>
                  <w:name w:val="Text7"/>
                  <w:enabled/>
                  <w:calcOnExit w:val="0"/>
                  <w:textInput/>
                </w:ffData>
              </w:fldChar>
            </w:r>
            <w:r w:rsidRPr="00E74965">
              <w:rPr>
                <w:rFonts w:ascii="Verdana" w:hAnsi="Verdana"/>
                <w:color w:val="auto"/>
              </w:rPr>
              <w:instrText xml:space="preserve"> FORMTEXT </w:instrText>
            </w:r>
            <w:r w:rsidRPr="00E74965">
              <w:rPr>
                <w:rFonts w:ascii="Verdana" w:hAnsi="Verdana"/>
                <w:color w:val="auto"/>
              </w:rPr>
            </w:r>
            <w:r w:rsidRPr="00E74965">
              <w:rPr>
                <w:rFonts w:ascii="Verdana" w:hAnsi="Verdana"/>
                <w:color w:val="auto"/>
              </w:rPr>
              <w:fldChar w:fldCharType="separate"/>
            </w:r>
            <w:r w:rsidRPr="00E74965">
              <w:rPr>
                <w:rFonts w:ascii="Verdana" w:hAnsi="Verdana"/>
                <w:noProof/>
                <w:color w:val="auto"/>
              </w:rPr>
              <w:t> </w:t>
            </w:r>
            <w:r w:rsidRPr="00E74965">
              <w:rPr>
                <w:rFonts w:ascii="Verdana" w:hAnsi="Verdana"/>
                <w:noProof/>
                <w:color w:val="auto"/>
              </w:rPr>
              <w:t> </w:t>
            </w:r>
            <w:r w:rsidRPr="00E74965">
              <w:rPr>
                <w:rFonts w:ascii="Verdana" w:hAnsi="Verdana"/>
                <w:noProof/>
                <w:color w:val="auto"/>
              </w:rPr>
              <w:t> </w:t>
            </w:r>
            <w:r w:rsidRPr="00E74965">
              <w:rPr>
                <w:rFonts w:ascii="Verdana" w:hAnsi="Verdana"/>
                <w:noProof/>
                <w:color w:val="auto"/>
              </w:rPr>
              <w:t> </w:t>
            </w:r>
            <w:r w:rsidRPr="00E74965">
              <w:rPr>
                <w:rFonts w:ascii="Verdana" w:hAnsi="Verdana"/>
                <w:noProof/>
                <w:color w:val="auto"/>
              </w:rPr>
              <w:t> </w:t>
            </w:r>
            <w:r w:rsidRPr="00E74965">
              <w:rPr>
                <w:rFonts w:ascii="Verdana" w:hAnsi="Verdana"/>
                <w:color w:val="auto"/>
              </w:rPr>
              <w:fldChar w:fldCharType="end"/>
            </w:r>
          </w:p>
        </w:tc>
      </w:tr>
    </w:tbl>
    <w:p w14:paraId="044ABC59" w14:textId="77777777" w:rsidR="00E74965" w:rsidRPr="00E74965" w:rsidRDefault="00E74965" w:rsidP="00813FDB">
      <w:pPr>
        <w:pStyle w:val="Question"/>
        <w:keepNext/>
        <w:rPr>
          <w:rFonts w:ascii="Verdana" w:hAnsi="Verdana"/>
          <w:b/>
        </w:rPr>
      </w:pPr>
      <w:r w:rsidRPr="00E74965">
        <w:rPr>
          <w:rFonts w:ascii="Verdana" w:hAnsi="Verdana"/>
          <w:b/>
        </w:rPr>
        <w:tab/>
      </w:r>
      <w:r w:rsidRPr="00E74965">
        <w:rPr>
          <w:rFonts w:ascii="Verdana" w:hAnsi="Verdana"/>
          <w:b/>
        </w:rPr>
        <w:tab/>
        <w:t>FRN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74965" w:rsidRPr="00E74965" w14:paraId="213CCEB1" w14:textId="77777777" w:rsidTr="00813FDB">
        <w:trPr>
          <w:trHeight w:val="397"/>
        </w:trPr>
        <w:tc>
          <w:tcPr>
            <w:tcW w:w="7088" w:type="dxa"/>
            <w:vAlign w:val="center"/>
          </w:tcPr>
          <w:p w14:paraId="42285B21" w14:textId="77777777" w:rsidR="00E74965" w:rsidRPr="00E74965" w:rsidRDefault="00E74965" w:rsidP="002A1559">
            <w:pPr>
              <w:pStyle w:val="Qsanswer"/>
              <w:keepNext/>
              <w:spacing w:before="20" w:after="0"/>
              <w:ind w:right="57"/>
              <w:rPr>
                <w:rFonts w:ascii="Verdana" w:hAnsi="Verdana"/>
                <w:color w:val="auto"/>
              </w:rPr>
            </w:pPr>
            <w:r w:rsidRPr="00E74965">
              <w:rPr>
                <w:rFonts w:ascii="Verdana" w:hAnsi="Verdana"/>
                <w:color w:val="auto"/>
              </w:rPr>
              <w:fldChar w:fldCharType="begin">
                <w:ffData>
                  <w:name w:val="Text7"/>
                  <w:enabled/>
                  <w:calcOnExit w:val="0"/>
                  <w:textInput/>
                </w:ffData>
              </w:fldChar>
            </w:r>
            <w:r w:rsidRPr="00E74965">
              <w:rPr>
                <w:rFonts w:ascii="Verdana" w:hAnsi="Verdana"/>
                <w:color w:val="auto"/>
              </w:rPr>
              <w:instrText xml:space="preserve"> FORMTEXT </w:instrText>
            </w:r>
            <w:r w:rsidRPr="00E74965">
              <w:rPr>
                <w:rFonts w:ascii="Verdana" w:hAnsi="Verdana"/>
                <w:color w:val="auto"/>
              </w:rPr>
            </w:r>
            <w:r w:rsidRPr="00E74965">
              <w:rPr>
                <w:rFonts w:ascii="Verdana" w:hAnsi="Verdana"/>
                <w:color w:val="auto"/>
              </w:rPr>
              <w:fldChar w:fldCharType="separate"/>
            </w:r>
            <w:r w:rsidRPr="00E74965">
              <w:rPr>
                <w:rFonts w:ascii="Verdana" w:hAnsi="Verdana"/>
                <w:noProof/>
                <w:color w:val="auto"/>
              </w:rPr>
              <w:t> </w:t>
            </w:r>
            <w:r w:rsidRPr="00E74965">
              <w:rPr>
                <w:rFonts w:ascii="Verdana" w:hAnsi="Verdana"/>
                <w:noProof/>
                <w:color w:val="auto"/>
              </w:rPr>
              <w:t> </w:t>
            </w:r>
            <w:r w:rsidRPr="00E74965">
              <w:rPr>
                <w:rFonts w:ascii="Verdana" w:hAnsi="Verdana"/>
                <w:noProof/>
                <w:color w:val="auto"/>
              </w:rPr>
              <w:t> </w:t>
            </w:r>
            <w:r w:rsidRPr="00E74965">
              <w:rPr>
                <w:rFonts w:ascii="Verdana" w:hAnsi="Verdana"/>
                <w:noProof/>
                <w:color w:val="auto"/>
              </w:rPr>
              <w:t> </w:t>
            </w:r>
            <w:r w:rsidRPr="00E74965">
              <w:rPr>
                <w:rFonts w:ascii="Verdana" w:hAnsi="Verdana"/>
                <w:noProof/>
                <w:color w:val="auto"/>
              </w:rPr>
              <w:t> </w:t>
            </w:r>
            <w:r w:rsidRPr="00E74965">
              <w:rPr>
                <w:rFonts w:ascii="Verdana" w:hAnsi="Verdana"/>
                <w:color w:val="auto"/>
              </w:rPr>
              <w:fldChar w:fldCharType="end"/>
            </w:r>
          </w:p>
        </w:tc>
      </w:tr>
    </w:tbl>
    <w:p w14:paraId="34D21DA4" w14:textId="77777777" w:rsidR="00E74965" w:rsidRPr="00917A5C" w:rsidRDefault="00E74965" w:rsidP="00291DA9">
      <w:pPr>
        <w:pStyle w:val="Question"/>
        <w:keepNext/>
        <w:rPr>
          <w:rFonts w:ascii="Verdana" w:hAnsi="Verdana"/>
          <w:b/>
        </w:rPr>
      </w:pPr>
      <w:r w:rsidRPr="00E74965">
        <w:rPr>
          <w:rFonts w:ascii="Verdana" w:hAnsi="Verdana"/>
          <w:b/>
        </w:rPr>
        <w:tab/>
      </w:r>
      <w:r>
        <w:rPr>
          <w:rFonts w:ascii="Verdana" w:hAnsi="Verdana"/>
          <w:b/>
        </w:rPr>
        <w:tab/>
        <w:t>Are the following cross–references applicable to more than one AIF/sub-fund/compartment?</w:t>
      </w:r>
    </w:p>
    <w:p w14:paraId="7BC7DF09" w14:textId="77777777" w:rsidR="00E74965" w:rsidRPr="00917A5C" w:rsidRDefault="00E74965" w:rsidP="00291DA9">
      <w:pPr>
        <w:pStyle w:val="QsyesnoCharChar"/>
        <w:keepNext/>
        <w:rPr>
          <w:rFonts w:ascii="Verdana" w:hAnsi="Verdana"/>
        </w:rPr>
      </w:pPr>
      <w:r w:rsidRPr="00917A5C">
        <w:rPr>
          <w:rFonts w:ascii="Verdana" w:hAnsi="Verdana"/>
        </w:rPr>
        <w:fldChar w:fldCharType="begin">
          <w:ffData>
            <w:name w:val="Check17"/>
            <w:enabled/>
            <w:calcOnExit w:val="0"/>
            <w:checkBox>
              <w:sizeAuto/>
              <w:default w:val="0"/>
            </w:checkBox>
          </w:ffData>
        </w:fldChar>
      </w:r>
      <w:r w:rsidRPr="00917A5C">
        <w:rPr>
          <w:rFonts w:ascii="Verdana" w:hAnsi="Verdana"/>
        </w:rPr>
        <w:instrText xml:space="preserve"> FORMCHECKBOX </w:instrText>
      </w:r>
      <w:r w:rsidR="009A0893">
        <w:rPr>
          <w:rFonts w:ascii="Verdana" w:hAnsi="Verdana"/>
        </w:rPr>
      </w:r>
      <w:r w:rsidR="009A0893">
        <w:rPr>
          <w:rFonts w:ascii="Verdana" w:hAnsi="Verdana"/>
        </w:rPr>
        <w:fldChar w:fldCharType="separate"/>
      </w:r>
      <w:r w:rsidRPr="00917A5C">
        <w:rPr>
          <w:rFonts w:ascii="Verdana" w:hAnsi="Verdana"/>
        </w:rPr>
        <w:fldChar w:fldCharType="end"/>
      </w:r>
      <w:r w:rsidRPr="00917A5C">
        <w:rPr>
          <w:rFonts w:ascii="Verdana" w:hAnsi="Verdana"/>
        </w:rPr>
        <w:tab/>
        <w:t>No</w:t>
      </w:r>
    </w:p>
    <w:p w14:paraId="3DC460E5" w14:textId="77777777" w:rsidR="00E74965" w:rsidRPr="00917A5C" w:rsidRDefault="00E74965" w:rsidP="00291DA9">
      <w:pPr>
        <w:pStyle w:val="Answer"/>
        <w:keepNext/>
        <w:rPr>
          <w:rFonts w:ascii="Verdana" w:hAnsi="Verdana"/>
        </w:rPr>
      </w:pPr>
      <w:r w:rsidRPr="00917A5C">
        <w:rPr>
          <w:rFonts w:ascii="Verdana" w:hAnsi="Verdana"/>
        </w:rPr>
        <w:fldChar w:fldCharType="begin">
          <w:ffData>
            <w:name w:val="Check22"/>
            <w:enabled/>
            <w:calcOnExit w:val="0"/>
            <w:checkBox>
              <w:sizeAuto/>
              <w:default w:val="0"/>
            </w:checkBox>
          </w:ffData>
        </w:fldChar>
      </w:r>
      <w:r w:rsidRPr="00917A5C">
        <w:rPr>
          <w:rFonts w:ascii="Verdana" w:hAnsi="Verdana"/>
        </w:rPr>
        <w:instrText xml:space="preserve"> FORMCHECKBOX </w:instrText>
      </w:r>
      <w:r w:rsidR="009A0893">
        <w:rPr>
          <w:rFonts w:ascii="Verdana" w:hAnsi="Verdana"/>
        </w:rPr>
      </w:r>
      <w:r w:rsidR="009A0893">
        <w:rPr>
          <w:rFonts w:ascii="Verdana" w:hAnsi="Verdana"/>
        </w:rPr>
        <w:fldChar w:fldCharType="separate"/>
      </w:r>
      <w:r w:rsidRPr="00917A5C">
        <w:rPr>
          <w:rFonts w:ascii="Verdana" w:hAnsi="Verdana"/>
        </w:rPr>
        <w:fldChar w:fldCharType="end"/>
      </w:r>
      <w:r w:rsidRPr="00917A5C">
        <w:rPr>
          <w:rFonts w:ascii="Verdana" w:hAnsi="Verdana"/>
        </w:rPr>
        <w:t xml:space="preserve"> Yes </w:t>
      </w:r>
      <w:r w:rsidRPr="00917A5C">
        <w:rPr>
          <w:rFonts w:ascii="Verdana" w:hAnsi="Verdana"/>
        </w:rPr>
        <w:sym w:font="Webdings" w:char="F034"/>
      </w:r>
      <w:r w:rsidRPr="00917A5C">
        <w:rPr>
          <w:rFonts w:ascii="Verdana" w:hAnsi="Verdana"/>
        </w:rPr>
        <w:t xml:space="preserve"> You must </w:t>
      </w:r>
      <w:r>
        <w:rPr>
          <w:rFonts w:ascii="Verdana" w:hAnsi="Verdana"/>
        </w:rPr>
        <w:t xml:space="preserve">provide all the </w:t>
      </w:r>
      <w:r w:rsidRPr="00DF64C3">
        <w:rPr>
          <w:rFonts w:ascii="Verdana" w:hAnsi="Verdana"/>
          <w:b/>
        </w:rPr>
        <w:t xml:space="preserve">AIF </w:t>
      </w:r>
      <w:r w:rsidRPr="003351C0">
        <w:rPr>
          <w:rFonts w:ascii="Verdana" w:hAnsi="Verdana"/>
          <w:b/>
        </w:rPr>
        <w:t>/</w:t>
      </w:r>
      <w:r>
        <w:rPr>
          <w:rFonts w:ascii="Verdana" w:hAnsi="Verdana"/>
          <w:b/>
        </w:rPr>
        <w:t>sub-fund/compartment</w:t>
      </w:r>
      <w:r>
        <w:rPr>
          <w:rFonts w:ascii="Verdana" w:hAnsi="Verdana"/>
        </w:rPr>
        <w:t xml:space="preserve"> names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E74965" w:rsidRPr="00917A5C" w14:paraId="12CDA42C" w14:textId="77777777" w:rsidTr="002A1559">
        <w:trPr>
          <w:trHeight w:val="465"/>
        </w:trPr>
        <w:tc>
          <w:tcPr>
            <w:tcW w:w="7088" w:type="dxa"/>
            <w:shd w:val="clear" w:color="auto" w:fill="auto"/>
          </w:tcPr>
          <w:p w14:paraId="31C5F826" w14:textId="77777777" w:rsidR="00E74965" w:rsidRPr="00917A5C" w:rsidRDefault="00E74965" w:rsidP="002A1559">
            <w:pPr>
              <w:pStyle w:val="Answer"/>
              <w:keepNext/>
              <w:rPr>
                <w:rFonts w:ascii="Verdana" w:hAnsi="Verdana"/>
              </w:rPr>
            </w:pPr>
            <w:r w:rsidRPr="00917A5C">
              <w:rPr>
                <w:rFonts w:ascii="Verdana" w:hAnsi="Verdana"/>
              </w:rPr>
              <w:fldChar w:fldCharType="begin">
                <w:ffData>
                  <w:name w:val="Text54"/>
                  <w:enabled/>
                  <w:calcOnExit w:val="0"/>
                  <w:textInput/>
                </w:ffData>
              </w:fldChar>
            </w:r>
            <w:r w:rsidRPr="00917A5C">
              <w:rPr>
                <w:rFonts w:ascii="Verdana" w:hAnsi="Verdana"/>
              </w:rPr>
              <w:instrText xml:space="preserve"> FORMTEXT </w:instrText>
            </w:r>
            <w:r w:rsidRPr="00917A5C">
              <w:rPr>
                <w:rFonts w:ascii="Verdana" w:hAnsi="Verdana"/>
              </w:rPr>
            </w:r>
            <w:r w:rsidRPr="00917A5C">
              <w:rPr>
                <w:rFonts w:ascii="Verdana" w:hAnsi="Verdana"/>
              </w:rPr>
              <w:fldChar w:fldCharType="separate"/>
            </w:r>
            <w:r w:rsidRPr="00917A5C">
              <w:rPr>
                <w:rFonts w:ascii="Verdana" w:hAnsi="Verdana"/>
                <w:noProof/>
              </w:rPr>
              <w:t> </w:t>
            </w:r>
            <w:r w:rsidRPr="00917A5C">
              <w:rPr>
                <w:rFonts w:ascii="Verdana" w:hAnsi="Verdana"/>
                <w:noProof/>
              </w:rPr>
              <w:t> </w:t>
            </w:r>
            <w:r w:rsidRPr="00917A5C">
              <w:rPr>
                <w:rFonts w:ascii="Verdana" w:hAnsi="Verdana"/>
                <w:noProof/>
              </w:rPr>
              <w:t> </w:t>
            </w:r>
            <w:r w:rsidRPr="00917A5C">
              <w:rPr>
                <w:rFonts w:ascii="Verdana" w:hAnsi="Verdana"/>
                <w:noProof/>
              </w:rPr>
              <w:t> </w:t>
            </w:r>
            <w:r w:rsidRPr="00917A5C">
              <w:rPr>
                <w:rFonts w:ascii="Verdana" w:hAnsi="Verdana"/>
                <w:noProof/>
              </w:rPr>
              <w:t> </w:t>
            </w:r>
            <w:r w:rsidRPr="00917A5C">
              <w:rPr>
                <w:rFonts w:ascii="Verdana" w:hAnsi="Verdana"/>
              </w:rPr>
              <w:fldChar w:fldCharType="end"/>
            </w:r>
          </w:p>
        </w:tc>
      </w:tr>
    </w:tbl>
    <w:p w14:paraId="761FE1B4" w14:textId="77777777" w:rsidR="00E74965" w:rsidRDefault="00E74965" w:rsidP="000C069D">
      <w:pPr>
        <w:pStyle w:val="QsyesnoCharChar"/>
        <w:rPr>
          <w:rFonts w:ascii="Verdana" w:hAnsi="Verdana"/>
          <w:b/>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1134"/>
        <w:gridCol w:w="1826"/>
        <w:gridCol w:w="5532"/>
        <w:gridCol w:w="2832"/>
        <w:gridCol w:w="1733"/>
      </w:tblGrid>
      <w:tr w:rsidR="00E74965" w:rsidRPr="00E74965" w14:paraId="62F6E172" w14:textId="77777777" w:rsidTr="00E74965">
        <w:tc>
          <w:tcPr>
            <w:tcW w:w="2251" w:type="dxa"/>
            <w:gridSpan w:val="2"/>
            <w:shd w:val="clear" w:color="auto" w:fill="701B45"/>
          </w:tcPr>
          <w:p w14:paraId="4022BFA9" w14:textId="77777777" w:rsidR="00E74965" w:rsidRPr="00E74965" w:rsidRDefault="00E74965" w:rsidP="002A1559">
            <w:pPr>
              <w:spacing w:after="200" w:line="276" w:lineRule="auto"/>
              <w:jc w:val="center"/>
              <w:rPr>
                <w:rFonts w:ascii="Verdana" w:eastAsia="Calibri" w:hAnsi="Verdana"/>
                <w:b/>
                <w:bCs/>
                <w:color w:val="FFFFFF"/>
              </w:rPr>
            </w:pPr>
            <w:r w:rsidRPr="00E74965">
              <w:rPr>
                <w:rFonts w:ascii="Verdana" w:eastAsia="Calibri" w:hAnsi="Verdana"/>
                <w:b/>
                <w:bCs/>
                <w:color w:val="FFFFFF"/>
              </w:rPr>
              <w:t>Regulatory</w:t>
            </w:r>
          </w:p>
          <w:p w14:paraId="101F873F" w14:textId="77777777" w:rsidR="00E74965" w:rsidRPr="00E74965" w:rsidRDefault="00E74965" w:rsidP="002A1559">
            <w:pPr>
              <w:spacing w:after="200" w:line="276" w:lineRule="auto"/>
              <w:jc w:val="center"/>
              <w:rPr>
                <w:rFonts w:ascii="Verdana" w:eastAsia="Calibri" w:hAnsi="Verdana"/>
                <w:b/>
                <w:bCs/>
                <w:color w:val="FFFFFF"/>
              </w:rPr>
            </w:pPr>
            <w:r w:rsidRPr="00E74965">
              <w:rPr>
                <w:rFonts w:ascii="Verdana" w:eastAsia="Calibri" w:hAnsi="Verdana"/>
                <w:b/>
                <w:bCs/>
                <w:color w:val="FFFFFF"/>
              </w:rPr>
              <w:t>reference</w:t>
            </w:r>
          </w:p>
        </w:tc>
        <w:tc>
          <w:tcPr>
            <w:tcW w:w="1826" w:type="dxa"/>
            <w:shd w:val="clear" w:color="auto" w:fill="701B45"/>
          </w:tcPr>
          <w:p w14:paraId="24942EFD" w14:textId="77777777" w:rsidR="00E74965" w:rsidRPr="00E74965" w:rsidRDefault="00E74965" w:rsidP="002A1559">
            <w:pPr>
              <w:spacing w:after="200" w:line="276" w:lineRule="auto"/>
              <w:rPr>
                <w:rFonts w:ascii="Verdana" w:eastAsia="Calibri" w:hAnsi="Verdana"/>
                <w:b/>
                <w:bCs/>
                <w:color w:val="FFFFFF"/>
              </w:rPr>
            </w:pPr>
            <w:r w:rsidRPr="00E74965">
              <w:rPr>
                <w:rFonts w:ascii="Verdana" w:eastAsia="Calibri" w:hAnsi="Verdana"/>
                <w:b/>
                <w:bCs/>
                <w:color w:val="FFFFFF"/>
              </w:rPr>
              <w:t>AIF NAME:</w:t>
            </w:r>
          </w:p>
        </w:tc>
        <w:tc>
          <w:tcPr>
            <w:tcW w:w="5532" w:type="dxa"/>
            <w:shd w:val="clear" w:color="auto" w:fill="701B45"/>
          </w:tcPr>
          <w:p w14:paraId="63DB751A" w14:textId="77777777" w:rsidR="00E74965" w:rsidRPr="00E74965" w:rsidRDefault="00E74965" w:rsidP="003351C0">
            <w:pPr>
              <w:spacing w:after="200" w:line="276" w:lineRule="auto"/>
              <w:jc w:val="center"/>
              <w:rPr>
                <w:rFonts w:ascii="Verdana" w:eastAsia="Calibri" w:hAnsi="Verdana"/>
                <w:b/>
                <w:bCs/>
                <w:color w:val="FFFFFF"/>
              </w:rPr>
            </w:pPr>
            <w:r w:rsidRPr="00E74965">
              <w:rPr>
                <w:rFonts w:ascii="Verdana" w:hAnsi="Verdana"/>
              </w:rPr>
              <w:fldChar w:fldCharType="begin">
                <w:ffData>
                  <w:name w:val="Text7"/>
                  <w:enabled/>
                  <w:calcOnExit w:val="0"/>
                  <w:textInput/>
                </w:ffData>
              </w:fldChar>
            </w:r>
            <w:r w:rsidRPr="00E74965">
              <w:rPr>
                <w:rFonts w:ascii="Verdana" w:hAnsi="Verdana"/>
              </w:rPr>
              <w:instrText xml:space="preserve"> FORMTEXT </w:instrText>
            </w:r>
            <w:r w:rsidRPr="00E74965">
              <w:rPr>
                <w:rFonts w:ascii="Verdana" w:hAnsi="Verdana"/>
              </w:rPr>
            </w:r>
            <w:r w:rsidRPr="00E74965">
              <w:rPr>
                <w:rFonts w:ascii="Verdana" w:hAnsi="Verdana"/>
              </w:rPr>
              <w:fldChar w:fldCharType="separate"/>
            </w:r>
            <w:r w:rsidRPr="00E74965">
              <w:rPr>
                <w:rFonts w:ascii="Verdana" w:hAnsi="Verdana"/>
                <w:noProof/>
              </w:rPr>
              <w:t> </w:t>
            </w:r>
            <w:r w:rsidRPr="00E74965">
              <w:rPr>
                <w:rFonts w:ascii="Verdana" w:hAnsi="Verdana"/>
                <w:noProof/>
              </w:rPr>
              <w:t> </w:t>
            </w:r>
            <w:r w:rsidRPr="00E74965">
              <w:rPr>
                <w:rFonts w:ascii="Verdana" w:hAnsi="Verdana"/>
                <w:noProof/>
              </w:rPr>
              <w:t> </w:t>
            </w:r>
            <w:r w:rsidRPr="00E74965">
              <w:rPr>
                <w:rFonts w:ascii="Verdana" w:hAnsi="Verdana"/>
                <w:noProof/>
              </w:rPr>
              <w:t> </w:t>
            </w:r>
            <w:r w:rsidRPr="00E74965">
              <w:rPr>
                <w:rFonts w:ascii="Verdana" w:hAnsi="Verdana"/>
                <w:noProof/>
              </w:rPr>
              <w:t> </w:t>
            </w:r>
            <w:r w:rsidRPr="00E74965">
              <w:rPr>
                <w:rFonts w:ascii="Verdana" w:hAnsi="Verdana"/>
              </w:rPr>
              <w:fldChar w:fldCharType="end"/>
            </w:r>
          </w:p>
          <w:p w14:paraId="75285470" w14:textId="77777777" w:rsidR="00E74965" w:rsidRPr="00E74965" w:rsidRDefault="00E74965" w:rsidP="003351C0">
            <w:pPr>
              <w:spacing w:after="200" w:line="276" w:lineRule="auto"/>
              <w:jc w:val="center"/>
              <w:rPr>
                <w:rFonts w:ascii="Verdana" w:eastAsia="Calibri" w:hAnsi="Verdana"/>
                <w:b/>
                <w:bCs/>
                <w:color w:val="FFFFFF"/>
              </w:rPr>
            </w:pPr>
            <w:r w:rsidRPr="00E74965">
              <w:rPr>
                <w:rFonts w:ascii="Verdana" w:eastAsia="Calibri" w:hAnsi="Verdana"/>
                <w:b/>
                <w:bCs/>
                <w:color w:val="FFFFFF"/>
              </w:rPr>
              <w:t>Eg. XYZ Fund LLP</w:t>
            </w:r>
          </w:p>
        </w:tc>
        <w:tc>
          <w:tcPr>
            <w:tcW w:w="2832" w:type="dxa"/>
            <w:vMerge w:val="restart"/>
            <w:shd w:val="clear" w:color="auto" w:fill="701B45"/>
          </w:tcPr>
          <w:p w14:paraId="273C3F68" w14:textId="77777777" w:rsidR="00E74965" w:rsidRPr="00E74965" w:rsidRDefault="00E74965" w:rsidP="002A1559">
            <w:pPr>
              <w:spacing w:after="200" w:line="276" w:lineRule="auto"/>
              <w:jc w:val="center"/>
              <w:rPr>
                <w:rFonts w:ascii="Verdana" w:eastAsia="Calibri" w:hAnsi="Verdana"/>
                <w:b/>
                <w:bCs/>
                <w:color w:val="FFFFFF"/>
              </w:rPr>
            </w:pPr>
            <w:r w:rsidRPr="00E74965">
              <w:rPr>
                <w:rFonts w:ascii="Verdana" w:eastAsia="Calibri" w:hAnsi="Verdana"/>
                <w:b/>
                <w:bCs/>
                <w:color w:val="FFFFFF"/>
              </w:rPr>
              <w:t>Document name</w:t>
            </w:r>
          </w:p>
          <w:p w14:paraId="4D592FDA" w14:textId="77777777" w:rsidR="00E74965" w:rsidRPr="00E74965" w:rsidRDefault="00E74965" w:rsidP="003351C0">
            <w:pPr>
              <w:spacing w:after="200" w:line="276" w:lineRule="auto"/>
              <w:jc w:val="center"/>
              <w:rPr>
                <w:rFonts w:ascii="Verdana" w:eastAsia="Calibri" w:hAnsi="Verdana"/>
                <w:b/>
                <w:bCs/>
                <w:color w:val="FFFFFF"/>
              </w:rPr>
            </w:pPr>
            <w:r w:rsidRPr="00E74965">
              <w:rPr>
                <w:rFonts w:ascii="Verdana" w:eastAsia="Calibri" w:hAnsi="Verdana"/>
                <w:b/>
                <w:bCs/>
                <w:color w:val="FFFFFF"/>
              </w:rPr>
              <w:t>(eg, Prospectus , PPM, Standalone Disclosure Doc)</w:t>
            </w:r>
          </w:p>
        </w:tc>
        <w:tc>
          <w:tcPr>
            <w:tcW w:w="1733" w:type="dxa"/>
            <w:vMerge w:val="restart"/>
            <w:shd w:val="clear" w:color="auto" w:fill="701B45"/>
          </w:tcPr>
          <w:p w14:paraId="718DAB70" w14:textId="77777777" w:rsidR="00E74965" w:rsidRPr="00E74965" w:rsidRDefault="00E74965" w:rsidP="003351C0">
            <w:pPr>
              <w:spacing w:after="200" w:line="276" w:lineRule="auto"/>
              <w:jc w:val="center"/>
              <w:rPr>
                <w:rFonts w:ascii="Verdana" w:eastAsia="Calibri" w:hAnsi="Verdana"/>
                <w:b/>
                <w:bCs/>
                <w:color w:val="FFFFFF"/>
              </w:rPr>
            </w:pPr>
            <w:r w:rsidRPr="00E74965">
              <w:rPr>
                <w:rFonts w:ascii="Verdana" w:eastAsia="Calibri" w:hAnsi="Verdana"/>
                <w:b/>
                <w:bCs/>
                <w:color w:val="FFFFFF"/>
              </w:rPr>
              <w:t>Page # and reference</w:t>
            </w:r>
          </w:p>
        </w:tc>
      </w:tr>
      <w:tr w:rsidR="00E74965" w:rsidRPr="00E74965" w14:paraId="55197520" w14:textId="77777777" w:rsidTr="00E74965">
        <w:tc>
          <w:tcPr>
            <w:tcW w:w="1117" w:type="dxa"/>
            <w:shd w:val="clear" w:color="auto" w:fill="auto"/>
          </w:tcPr>
          <w:p w14:paraId="3433B2B3" w14:textId="77777777" w:rsidR="00E74965" w:rsidRPr="00E74965" w:rsidRDefault="00E74965" w:rsidP="003351C0">
            <w:pPr>
              <w:spacing w:after="200" w:line="276" w:lineRule="auto"/>
              <w:jc w:val="center"/>
              <w:rPr>
                <w:rFonts w:ascii="Verdana" w:eastAsia="Calibri" w:hAnsi="Verdana"/>
                <w:b/>
                <w:bCs/>
              </w:rPr>
            </w:pPr>
            <w:r w:rsidRPr="00E74965">
              <w:rPr>
                <w:rFonts w:ascii="Verdana" w:eastAsia="Calibri" w:hAnsi="Verdana"/>
                <w:b/>
                <w:bCs/>
              </w:rPr>
              <w:t>AIFMD art 23</w:t>
            </w:r>
          </w:p>
        </w:tc>
        <w:tc>
          <w:tcPr>
            <w:tcW w:w="1134" w:type="dxa"/>
            <w:shd w:val="clear" w:color="auto" w:fill="auto"/>
          </w:tcPr>
          <w:p w14:paraId="3E5B402A" w14:textId="77777777" w:rsidR="00E74965" w:rsidRPr="00E74965" w:rsidRDefault="00E74965" w:rsidP="002A1559">
            <w:pPr>
              <w:spacing w:after="200" w:line="276" w:lineRule="auto"/>
              <w:jc w:val="center"/>
              <w:rPr>
                <w:rFonts w:ascii="Verdana" w:eastAsia="Calibri" w:hAnsi="Verdana"/>
              </w:rPr>
            </w:pPr>
            <w:r w:rsidRPr="00E74965">
              <w:rPr>
                <w:rFonts w:ascii="Verdana" w:eastAsia="Calibri" w:hAnsi="Verdana"/>
              </w:rPr>
              <w:t>FUND</w:t>
            </w:r>
          </w:p>
          <w:p w14:paraId="4DB95B81" w14:textId="77777777" w:rsidR="00E74965" w:rsidRPr="00E74965" w:rsidRDefault="00E74965" w:rsidP="002A1559">
            <w:pPr>
              <w:spacing w:after="200" w:line="276" w:lineRule="auto"/>
              <w:jc w:val="center"/>
              <w:rPr>
                <w:rFonts w:ascii="Verdana" w:eastAsia="Calibri" w:hAnsi="Verdana"/>
              </w:rPr>
            </w:pPr>
            <w:r w:rsidRPr="00E74965">
              <w:rPr>
                <w:rFonts w:ascii="Verdana" w:eastAsia="Calibri" w:hAnsi="Verdana"/>
              </w:rPr>
              <w:t>3.2.2R</w:t>
            </w:r>
          </w:p>
        </w:tc>
        <w:tc>
          <w:tcPr>
            <w:tcW w:w="7358" w:type="dxa"/>
            <w:gridSpan w:val="2"/>
            <w:shd w:val="clear" w:color="auto" w:fill="701B45"/>
          </w:tcPr>
          <w:p w14:paraId="5AF8524E" w14:textId="77777777" w:rsidR="00E74965" w:rsidRPr="00E74965" w:rsidRDefault="00E74965" w:rsidP="002A1559">
            <w:pPr>
              <w:spacing w:after="200" w:line="276" w:lineRule="auto"/>
              <w:jc w:val="center"/>
              <w:rPr>
                <w:rFonts w:ascii="Verdana" w:eastAsia="Calibri" w:hAnsi="Verdana"/>
                <w:color w:val="FFFFFF"/>
              </w:rPr>
            </w:pPr>
            <w:r w:rsidRPr="00E74965">
              <w:rPr>
                <w:rFonts w:ascii="Verdana" w:eastAsia="Calibri" w:hAnsi="Verdana"/>
                <w:color w:val="FFFFFF"/>
              </w:rPr>
              <w:t>Disclosure text</w:t>
            </w:r>
          </w:p>
          <w:p w14:paraId="037A7080" w14:textId="77777777" w:rsidR="00E74965" w:rsidRPr="00E74965" w:rsidRDefault="00E74965" w:rsidP="002A1559">
            <w:pPr>
              <w:spacing w:after="200" w:line="276" w:lineRule="auto"/>
              <w:jc w:val="center"/>
              <w:rPr>
                <w:rFonts w:ascii="Verdana" w:eastAsia="Calibri" w:hAnsi="Verdana"/>
                <w:i/>
              </w:rPr>
            </w:pPr>
          </w:p>
        </w:tc>
        <w:tc>
          <w:tcPr>
            <w:tcW w:w="2832" w:type="dxa"/>
            <w:vMerge/>
            <w:shd w:val="clear" w:color="auto" w:fill="C0504D"/>
          </w:tcPr>
          <w:p w14:paraId="0B3AA323" w14:textId="77777777" w:rsidR="00E74965" w:rsidRPr="00E74965" w:rsidRDefault="00E74965" w:rsidP="002A1559">
            <w:pPr>
              <w:spacing w:after="200" w:line="276" w:lineRule="auto"/>
              <w:rPr>
                <w:rFonts w:ascii="Verdana" w:eastAsia="Calibri" w:hAnsi="Verdana"/>
              </w:rPr>
            </w:pPr>
          </w:p>
        </w:tc>
        <w:tc>
          <w:tcPr>
            <w:tcW w:w="1733" w:type="dxa"/>
            <w:vMerge/>
            <w:shd w:val="clear" w:color="auto" w:fill="C0504D"/>
          </w:tcPr>
          <w:p w14:paraId="639137E0" w14:textId="77777777" w:rsidR="00E74965" w:rsidRPr="00E74965" w:rsidRDefault="00E74965" w:rsidP="002A1559">
            <w:pPr>
              <w:spacing w:after="200" w:line="276" w:lineRule="auto"/>
              <w:rPr>
                <w:rFonts w:ascii="Verdana" w:eastAsia="Calibri" w:hAnsi="Verdana"/>
              </w:rPr>
            </w:pPr>
          </w:p>
        </w:tc>
      </w:tr>
      <w:tr w:rsidR="00E74965" w:rsidRPr="00E74965" w14:paraId="28557C3F" w14:textId="77777777" w:rsidTr="002A1559">
        <w:tc>
          <w:tcPr>
            <w:tcW w:w="1117" w:type="dxa"/>
            <w:shd w:val="clear" w:color="auto" w:fill="auto"/>
          </w:tcPr>
          <w:p w14:paraId="4CAF23EA" w14:textId="77777777" w:rsidR="00E74965" w:rsidRPr="00E74965" w:rsidRDefault="00E74965" w:rsidP="002A1559">
            <w:pPr>
              <w:spacing w:after="200" w:line="276" w:lineRule="auto"/>
              <w:rPr>
                <w:rFonts w:ascii="Verdana" w:eastAsia="Calibri" w:hAnsi="Verdana"/>
                <w:b/>
                <w:bCs/>
                <w:sz w:val="20"/>
                <w:szCs w:val="20"/>
              </w:rPr>
            </w:pPr>
            <w:r w:rsidRPr="00E74965">
              <w:rPr>
                <w:rFonts w:ascii="Verdana" w:eastAsia="Calibri" w:hAnsi="Verdana"/>
                <w:b/>
                <w:bCs/>
                <w:sz w:val="20"/>
                <w:szCs w:val="20"/>
              </w:rPr>
              <w:t>(1a)</w:t>
            </w:r>
          </w:p>
        </w:tc>
        <w:tc>
          <w:tcPr>
            <w:tcW w:w="1134" w:type="dxa"/>
            <w:shd w:val="clear" w:color="auto" w:fill="auto"/>
          </w:tcPr>
          <w:p w14:paraId="7601B94C" w14:textId="77777777" w:rsidR="00E74965" w:rsidRPr="00E74965" w:rsidRDefault="00E74965" w:rsidP="002A1559">
            <w:pPr>
              <w:spacing w:after="200" w:line="276" w:lineRule="auto"/>
              <w:rPr>
                <w:rFonts w:ascii="Verdana" w:eastAsia="Calibri" w:hAnsi="Verdana"/>
                <w:sz w:val="20"/>
                <w:szCs w:val="20"/>
              </w:rPr>
            </w:pPr>
            <w:r w:rsidRPr="00E74965">
              <w:rPr>
                <w:rFonts w:ascii="Verdana" w:eastAsia="Calibri" w:hAnsi="Verdana"/>
                <w:sz w:val="20"/>
                <w:szCs w:val="20"/>
              </w:rPr>
              <w:t>(1a)</w:t>
            </w:r>
          </w:p>
        </w:tc>
        <w:tc>
          <w:tcPr>
            <w:tcW w:w="7358" w:type="dxa"/>
            <w:gridSpan w:val="2"/>
            <w:shd w:val="clear" w:color="auto" w:fill="auto"/>
          </w:tcPr>
          <w:p w14:paraId="3B2E8B07" w14:textId="77777777" w:rsidR="00E74965" w:rsidRPr="00E74965" w:rsidRDefault="00E74965" w:rsidP="002A1559">
            <w:pPr>
              <w:spacing w:after="200" w:line="276" w:lineRule="auto"/>
              <w:rPr>
                <w:rFonts w:ascii="Verdana" w:eastAsia="Calibri" w:hAnsi="Verdana"/>
                <w:i/>
                <w:sz w:val="20"/>
                <w:szCs w:val="20"/>
              </w:rPr>
            </w:pPr>
            <w:r w:rsidRPr="00E74965">
              <w:rPr>
                <w:rFonts w:ascii="Verdana" w:eastAsia="Calibri" w:hAnsi="Verdana"/>
                <w:i/>
                <w:sz w:val="20"/>
                <w:szCs w:val="20"/>
              </w:rPr>
              <w:t xml:space="preserve">a description of the investment strategy and objectives of the AIF; </w:t>
            </w:r>
          </w:p>
        </w:tc>
        <w:tc>
          <w:tcPr>
            <w:tcW w:w="2832" w:type="dxa"/>
            <w:shd w:val="clear" w:color="auto" w:fill="auto"/>
          </w:tcPr>
          <w:p w14:paraId="03984D1C" w14:textId="77777777" w:rsidR="00E74965" w:rsidRPr="00E74965" w:rsidRDefault="00E74965" w:rsidP="002A1559">
            <w:pPr>
              <w:spacing w:after="200" w:line="276" w:lineRule="auto"/>
              <w:rPr>
                <w:rFonts w:ascii="Verdana" w:eastAsia="Calibri" w:hAnsi="Verdana"/>
                <w:i/>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c>
          <w:tcPr>
            <w:tcW w:w="1733" w:type="dxa"/>
            <w:shd w:val="clear" w:color="auto" w:fill="auto"/>
          </w:tcPr>
          <w:p w14:paraId="04D2DC2E" w14:textId="77777777" w:rsidR="00E74965" w:rsidRPr="00E74965" w:rsidRDefault="00E74965" w:rsidP="002A1559">
            <w:pPr>
              <w:spacing w:after="200" w:line="276" w:lineRule="auto"/>
              <w:rPr>
                <w:rFonts w:ascii="Verdana" w:eastAsia="Calibri" w:hAnsi="Verdana"/>
                <w:i/>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r>
      <w:tr w:rsidR="00E74965" w:rsidRPr="00E74965" w14:paraId="1138B0C4" w14:textId="77777777" w:rsidTr="002A1559">
        <w:tc>
          <w:tcPr>
            <w:tcW w:w="1117" w:type="dxa"/>
            <w:shd w:val="clear" w:color="auto" w:fill="auto"/>
          </w:tcPr>
          <w:p w14:paraId="728C44D1" w14:textId="77777777" w:rsidR="00E74965" w:rsidRPr="00E74965" w:rsidRDefault="00E74965" w:rsidP="002A1559">
            <w:pPr>
              <w:spacing w:after="200" w:line="276" w:lineRule="auto"/>
              <w:rPr>
                <w:rFonts w:ascii="Verdana" w:eastAsia="Calibri" w:hAnsi="Verdana"/>
                <w:b/>
                <w:bCs/>
                <w:sz w:val="20"/>
                <w:szCs w:val="20"/>
              </w:rPr>
            </w:pPr>
            <w:r w:rsidRPr="00E74965">
              <w:rPr>
                <w:rFonts w:ascii="Verdana" w:eastAsia="Calibri" w:hAnsi="Verdana"/>
                <w:b/>
                <w:bCs/>
                <w:sz w:val="20"/>
                <w:szCs w:val="20"/>
              </w:rPr>
              <w:lastRenderedPageBreak/>
              <w:t>(1a)</w:t>
            </w:r>
          </w:p>
        </w:tc>
        <w:tc>
          <w:tcPr>
            <w:tcW w:w="1134" w:type="dxa"/>
            <w:shd w:val="clear" w:color="auto" w:fill="auto"/>
          </w:tcPr>
          <w:p w14:paraId="0A38EE28" w14:textId="77777777" w:rsidR="00E74965" w:rsidRPr="00E74965" w:rsidRDefault="00E74965" w:rsidP="002A1559">
            <w:pPr>
              <w:spacing w:after="200" w:line="276" w:lineRule="auto"/>
              <w:rPr>
                <w:rFonts w:ascii="Verdana" w:eastAsia="Calibri" w:hAnsi="Verdana"/>
                <w:sz w:val="20"/>
                <w:szCs w:val="20"/>
              </w:rPr>
            </w:pPr>
            <w:r w:rsidRPr="00E74965">
              <w:rPr>
                <w:rFonts w:ascii="Verdana" w:eastAsia="Calibri" w:hAnsi="Verdana"/>
                <w:sz w:val="20"/>
                <w:szCs w:val="20"/>
              </w:rPr>
              <w:t>(1b)</w:t>
            </w:r>
          </w:p>
        </w:tc>
        <w:tc>
          <w:tcPr>
            <w:tcW w:w="7358" w:type="dxa"/>
            <w:gridSpan w:val="2"/>
            <w:shd w:val="clear" w:color="auto" w:fill="auto"/>
          </w:tcPr>
          <w:p w14:paraId="45151B1F" w14:textId="77777777" w:rsidR="00E74965" w:rsidRPr="00E74965" w:rsidRDefault="00E74965" w:rsidP="002A1559">
            <w:pPr>
              <w:spacing w:after="200" w:line="276" w:lineRule="auto"/>
              <w:rPr>
                <w:rFonts w:ascii="Verdana" w:eastAsia="Calibri" w:hAnsi="Verdana"/>
                <w:i/>
                <w:sz w:val="20"/>
                <w:szCs w:val="20"/>
              </w:rPr>
            </w:pPr>
            <w:r w:rsidRPr="00E74965">
              <w:rPr>
                <w:rFonts w:ascii="Verdana" w:eastAsia="Calibri" w:hAnsi="Verdana"/>
                <w:i/>
                <w:sz w:val="20"/>
                <w:szCs w:val="20"/>
              </w:rPr>
              <w:t xml:space="preserve">if the AIF is a feeder AIF, information on where the master AIF is established; </w:t>
            </w:r>
          </w:p>
        </w:tc>
        <w:tc>
          <w:tcPr>
            <w:tcW w:w="2832" w:type="dxa"/>
            <w:shd w:val="clear" w:color="auto" w:fill="auto"/>
          </w:tcPr>
          <w:p w14:paraId="55BE3CA4" w14:textId="77777777" w:rsidR="00E74965" w:rsidRPr="00E74965" w:rsidRDefault="00E74965" w:rsidP="002A1559">
            <w:pPr>
              <w:spacing w:after="200" w:line="276" w:lineRule="auto"/>
              <w:rPr>
                <w:rFonts w:ascii="Verdana" w:eastAsia="Calibri" w:hAnsi="Verdana"/>
                <w:i/>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c>
          <w:tcPr>
            <w:tcW w:w="1733" w:type="dxa"/>
            <w:shd w:val="clear" w:color="auto" w:fill="auto"/>
          </w:tcPr>
          <w:p w14:paraId="7E294B3F" w14:textId="77777777" w:rsidR="00E74965" w:rsidRPr="00E74965" w:rsidRDefault="00E74965" w:rsidP="002A1559">
            <w:pPr>
              <w:spacing w:after="200" w:line="276" w:lineRule="auto"/>
              <w:rPr>
                <w:rFonts w:ascii="Verdana" w:eastAsia="Calibri" w:hAnsi="Verdana"/>
                <w:i/>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r>
      <w:tr w:rsidR="00E74965" w:rsidRPr="00E74965" w14:paraId="0D1CABF6" w14:textId="77777777" w:rsidTr="002A1559">
        <w:tc>
          <w:tcPr>
            <w:tcW w:w="1117" w:type="dxa"/>
            <w:shd w:val="clear" w:color="auto" w:fill="auto"/>
          </w:tcPr>
          <w:p w14:paraId="46E212DD" w14:textId="77777777" w:rsidR="00E74965" w:rsidRPr="00E74965" w:rsidRDefault="00E74965" w:rsidP="002A1559">
            <w:pPr>
              <w:spacing w:after="200" w:line="276" w:lineRule="auto"/>
              <w:rPr>
                <w:rFonts w:ascii="Verdana" w:eastAsia="Calibri" w:hAnsi="Verdana"/>
                <w:b/>
                <w:bCs/>
                <w:sz w:val="20"/>
                <w:szCs w:val="20"/>
              </w:rPr>
            </w:pPr>
            <w:r w:rsidRPr="00E74965">
              <w:rPr>
                <w:rFonts w:ascii="Verdana" w:eastAsia="Calibri" w:hAnsi="Verdana"/>
                <w:b/>
                <w:bCs/>
                <w:sz w:val="20"/>
                <w:szCs w:val="20"/>
              </w:rPr>
              <w:t>(1a)</w:t>
            </w:r>
          </w:p>
        </w:tc>
        <w:tc>
          <w:tcPr>
            <w:tcW w:w="1134" w:type="dxa"/>
            <w:shd w:val="clear" w:color="auto" w:fill="auto"/>
          </w:tcPr>
          <w:p w14:paraId="69FA82F2" w14:textId="77777777" w:rsidR="00E74965" w:rsidRPr="00E74965" w:rsidRDefault="00E74965" w:rsidP="002A1559">
            <w:pPr>
              <w:spacing w:after="200" w:line="276" w:lineRule="auto"/>
              <w:rPr>
                <w:rFonts w:ascii="Verdana" w:eastAsia="Calibri" w:hAnsi="Verdana"/>
                <w:sz w:val="20"/>
                <w:szCs w:val="20"/>
              </w:rPr>
            </w:pPr>
            <w:r w:rsidRPr="00E74965">
              <w:rPr>
                <w:rFonts w:ascii="Verdana" w:eastAsia="Calibri" w:hAnsi="Verdana"/>
                <w:sz w:val="20"/>
                <w:szCs w:val="20"/>
              </w:rPr>
              <w:t>(1c)</w:t>
            </w:r>
          </w:p>
        </w:tc>
        <w:tc>
          <w:tcPr>
            <w:tcW w:w="7358" w:type="dxa"/>
            <w:gridSpan w:val="2"/>
            <w:shd w:val="clear" w:color="auto" w:fill="auto"/>
          </w:tcPr>
          <w:p w14:paraId="4A7E75E0" w14:textId="77777777" w:rsidR="00E74965" w:rsidRPr="00E74965" w:rsidRDefault="00E74965" w:rsidP="002A1559">
            <w:pPr>
              <w:spacing w:after="200" w:line="276" w:lineRule="auto"/>
              <w:rPr>
                <w:rFonts w:ascii="Verdana" w:eastAsia="Calibri" w:hAnsi="Verdana"/>
                <w:i/>
                <w:sz w:val="20"/>
                <w:szCs w:val="20"/>
              </w:rPr>
            </w:pPr>
            <w:r w:rsidRPr="00E74965">
              <w:rPr>
                <w:rFonts w:ascii="Verdana" w:eastAsia="Calibri" w:hAnsi="Verdana"/>
                <w:i/>
                <w:sz w:val="20"/>
                <w:szCs w:val="20"/>
              </w:rPr>
              <w:t xml:space="preserve">if the AIF is a fund of funds, information on where the underlying funds are established; </w:t>
            </w:r>
          </w:p>
        </w:tc>
        <w:tc>
          <w:tcPr>
            <w:tcW w:w="2832" w:type="dxa"/>
            <w:shd w:val="clear" w:color="auto" w:fill="auto"/>
          </w:tcPr>
          <w:p w14:paraId="707CE4CB" w14:textId="77777777" w:rsidR="00E74965" w:rsidRPr="00E74965" w:rsidRDefault="00E74965" w:rsidP="002A1559">
            <w:pPr>
              <w:spacing w:after="200" w:line="276" w:lineRule="auto"/>
              <w:rPr>
                <w:rFonts w:ascii="Verdana" w:eastAsia="Calibri" w:hAnsi="Verdana"/>
                <w:i/>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c>
          <w:tcPr>
            <w:tcW w:w="1733" w:type="dxa"/>
            <w:shd w:val="clear" w:color="auto" w:fill="auto"/>
          </w:tcPr>
          <w:p w14:paraId="02623876"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r>
      <w:tr w:rsidR="00E74965" w:rsidRPr="00E74965" w14:paraId="16851DA1" w14:textId="77777777" w:rsidTr="002A1559">
        <w:tc>
          <w:tcPr>
            <w:tcW w:w="1117" w:type="dxa"/>
            <w:shd w:val="clear" w:color="auto" w:fill="auto"/>
          </w:tcPr>
          <w:p w14:paraId="1FFDAC7A" w14:textId="77777777" w:rsidR="00E74965" w:rsidRPr="00E74965" w:rsidRDefault="00E74965" w:rsidP="002A1559">
            <w:pPr>
              <w:spacing w:after="200" w:line="276" w:lineRule="auto"/>
              <w:rPr>
                <w:rFonts w:ascii="Verdana" w:eastAsia="Calibri" w:hAnsi="Verdana"/>
                <w:b/>
                <w:bCs/>
                <w:sz w:val="20"/>
                <w:szCs w:val="20"/>
              </w:rPr>
            </w:pPr>
            <w:r w:rsidRPr="00E74965">
              <w:rPr>
                <w:rFonts w:ascii="Verdana" w:eastAsia="Calibri" w:hAnsi="Verdana"/>
                <w:b/>
                <w:bCs/>
                <w:sz w:val="20"/>
                <w:szCs w:val="20"/>
              </w:rPr>
              <w:t>(1a)</w:t>
            </w:r>
          </w:p>
        </w:tc>
        <w:tc>
          <w:tcPr>
            <w:tcW w:w="1134" w:type="dxa"/>
            <w:shd w:val="clear" w:color="auto" w:fill="auto"/>
          </w:tcPr>
          <w:p w14:paraId="61CE7FF4" w14:textId="77777777" w:rsidR="00E74965" w:rsidRPr="00E74965" w:rsidRDefault="00E74965" w:rsidP="002A1559">
            <w:pPr>
              <w:spacing w:after="200" w:line="276" w:lineRule="auto"/>
              <w:rPr>
                <w:rFonts w:ascii="Verdana" w:eastAsia="Calibri" w:hAnsi="Verdana"/>
                <w:sz w:val="20"/>
                <w:szCs w:val="20"/>
              </w:rPr>
            </w:pPr>
            <w:r w:rsidRPr="00E74965">
              <w:rPr>
                <w:rFonts w:ascii="Verdana" w:eastAsia="Calibri" w:hAnsi="Verdana"/>
                <w:sz w:val="20"/>
                <w:szCs w:val="20"/>
              </w:rPr>
              <w:t>(1d)</w:t>
            </w:r>
          </w:p>
        </w:tc>
        <w:tc>
          <w:tcPr>
            <w:tcW w:w="7358" w:type="dxa"/>
            <w:gridSpan w:val="2"/>
            <w:shd w:val="clear" w:color="auto" w:fill="auto"/>
          </w:tcPr>
          <w:p w14:paraId="4A0F94B6" w14:textId="77777777" w:rsidR="00E74965" w:rsidRPr="00E74965" w:rsidRDefault="00E74965" w:rsidP="002A1559">
            <w:pPr>
              <w:spacing w:after="200" w:line="276" w:lineRule="auto"/>
              <w:rPr>
                <w:rFonts w:ascii="Verdana" w:eastAsia="Calibri" w:hAnsi="Verdana"/>
                <w:i/>
                <w:sz w:val="20"/>
                <w:szCs w:val="20"/>
              </w:rPr>
            </w:pPr>
            <w:r w:rsidRPr="00E74965">
              <w:rPr>
                <w:rFonts w:ascii="Verdana" w:eastAsia="Calibri" w:hAnsi="Verdana"/>
                <w:i/>
                <w:sz w:val="20"/>
                <w:szCs w:val="20"/>
              </w:rPr>
              <w:t xml:space="preserve">a description of the types of assets in which the AIF may invest; </w:t>
            </w:r>
          </w:p>
        </w:tc>
        <w:tc>
          <w:tcPr>
            <w:tcW w:w="2832" w:type="dxa"/>
            <w:shd w:val="clear" w:color="auto" w:fill="auto"/>
          </w:tcPr>
          <w:p w14:paraId="52C8DCD6"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c>
          <w:tcPr>
            <w:tcW w:w="1733" w:type="dxa"/>
            <w:shd w:val="clear" w:color="auto" w:fill="auto"/>
          </w:tcPr>
          <w:p w14:paraId="7ECCEBF5" w14:textId="77777777" w:rsidR="00E74965" w:rsidRPr="00E74965" w:rsidRDefault="00E74965" w:rsidP="00231EBD">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r>
      <w:tr w:rsidR="00E74965" w:rsidRPr="00E74965" w14:paraId="70391899" w14:textId="77777777" w:rsidTr="002A1559">
        <w:tc>
          <w:tcPr>
            <w:tcW w:w="1117" w:type="dxa"/>
            <w:shd w:val="clear" w:color="auto" w:fill="auto"/>
          </w:tcPr>
          <w:p w14:paraId="0BCE5447" w14:textId="77777777" w:rsidR="00E74965" w:rsidRPr="00E74965" w:rsidRDefault="00E74965" w:rsidP="002A1559">
            <w:pPr>
              <w:spacing w:after="200" w:line="276" w:lineRule="auto"/>
              <w:rPr>
                <w:rFonts w:ascii="Verdana" w:eastAsia="Calibri" w:hAnsi="Verdana"/>
                <w:b/>
                <w:bCs/>
                <w:sz w:val="20"/>
                <w:szCs w:val="20"/>
              </w:rPr>
            </w:pPr>
            <w:r w:rsidRPr="00E74965">
              <w:rPr>
                <w:rFonts w:ascii="Verdana" w:eastAsia="Calibri" w:hAnsi="Verdana"/>
                <w:b/>
                <w:bCs/>
                <w:sz w:val="20"/>
                <w:szCs w:val="20"/>
              </w:rPr>
              <w:t>(1a)</w:t>
            </w:r>
          </w:p>
        </w:tc>
        <w:tc>
          <w:tcPr>
            <w:tcW w:w="1134" w:type="dxa"/>
            <w:shd w:val="clear" w:color="auto" w:fill="auto"/>
          </w:tcPr>
          <w:p w14:paraId="0583D068" w14:textId="77777777" w:rsidR="00E74965" w:rsidRPr="00E74965" w:rsidRDefault="00E74965" w:rsidP="002A1559">
            <w:pPr>
              <w:spacing w:after="200" w:line="276" w:lineRule="auto"/>
              <w:rPr>
                <w:rFonts w:ascii="Verdana" w:eastAsia="Calibri" w:hAnsi="Verdana"/>
                <w:sz w:val="20"/>
                <w:szCs w:val="20"/>
              </w:rPr>
            </w:pPr>
            <w:r w:rsidRPr="00E74965">
              <w:rPr>
                <w:rFonts w:ascii="Verdana" w:eastAsia="Calibri" w:hAnsi="Verdana"/>
                <w:sz w:val="20"/>
                <w:szCs w:val="20"/>
              </w:rPr>
              <w:t>(1e)</w:t>
            </w:r>
          </w:p>
        </w:tc>
        <w:tc>
          <w:tcPr>
            <w:tcW w:w="7358" w:type="dxa"/>
            <w:gridSpan w:val="2"/>
            <w:shd w:val="clear" w:color="auto" w:fill="auto"/>
          </w:tcPr>
          <w:p w14:paraId="2CDEEA7E" w14:textId="77777777" w:rsidR="00E74965" w:rsidRPr="00E74965" w:rsidRDefault="00E74965" w:rsidP="002A1559">
            <w:pPr>
              <w:spacing w:after="200" w:line="276" w:lineRule="auto"/>
              <w:rPr>
                <w:rFonts w:ascii="Verdana" w:eastAsia="Calibri" w:hAnsi="Verdana"/>
                <w:i/>
                <w:sz w:val="20"/>
                <w:szCs w:val="20"/>
              </w:rPr>
            </w:pPr>
            <w:r w:rsidRPr="00E74965">
              <w:rPr>
                <w:rFonts w:ascii="Verdana" w:eastAsia="Calibri" w:hAnsi="Verdana"/>
                <w:i/>
                <w:sz w:val="20"/>
                <w:szCs w:val="20"/>
              </w:rPr>
              <w:t>the investment techniques that the AIF, or the AIFM on behalf of the AIF, may employ and all associated risks;</w:t>
            </w:r>
          </w:p>
        </w:tc>
        <w:tc>
          <w:tcPr>
            <w:tcW w:w="2832" w:type="dxa"/>
            <w:shd w:val="clear" w:color="auto" w:fill="auto"/>
          </w:tcPr>
          <w:p w14:paraId="7ED6ACE6"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c>
          <w:tcPr>
            <w:tcW w:w="1733" w:type="dxa"/>
            <w:shd w:val="clear" w:color="auto" w:fill="auto"/>
          </w:tcPr>
          <w:p w14:paraId="0CB3FE8D"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r>
      <w:tr w:rsidR="00E74965" w:rsidRPr="00E74965" w14:paraId="7DA091EB" w14:textId="77777777" w:rsidTr="002A1559">
        <w:tc>
          <w:tcPr>
            <w:tcW w:w="1117" w:type="dxa"/>
            <w:shd w:val="clear" w:color="auto" w:fill="auto"/>
          </w:tcPr>
          <w:p w14:paraId="59719A52" w14:textId="77777777" w:rsidR="00E74965" w:rsidRPr="00E74965" w:rsidRDefault="00E74965" w:rsidP="002A1559">
            <w:pPr>
              <w:spacing w:after="200" w:line="276" w:lineRule="auto"/>
              <w:rPr>
                <w:rFonts w:ascii="Verdana" w:eastAsia="Calibri" w:hAnsi="Verdana"/>
                <w:b/>
                <w:bCs/>
                <w:sz w:val="20"/>
                <w:szCs w:val="20"/>
              </w:rPr>
            </w:pPr>
            <w:r w:rsidRPr="00E74965">
              <w:rPr>
                <w:rFonts w:ascii="Verdana" w:eastAsia="Calibri" w:hAnsi="Verdana"/>
                <w:b/>
                <w:bCs/>
                <w:sz w:val="20"/>
                <w:szCs w:val="20"/>
              </w:rPr>
              <w:t>(1a)</w:t>
            </w:r>
          </w:p>
        </w:tc>
        <w:tc>
          <w:tcPr>
            <w:tcW w:w="1134" w:type="dxa"/>
            <w:shd w:val="clear" w:color="auto" w:fill="auto"/>
          </w:tcPr>
          <w:p w14:paraId="763A15A0" w14:textId="77777777" w:rsidR="00E74965" w:rsidRPr="00E74965" w:rsidRDefault="00E74965" w:rsidP="002A1559">
            <w:pPr>
              <w:spacing w:after="200" w:line="276" w:lineRule="auto"/>
              <w:rPr>
                <w:rFonts w:ascii="Verdana" w:eastAsia="Calibri" w:hAnsi="Verdana"/>
                <w:sz w:val="20"/>
                <w:szCs w:val="20"/>
              </w:rPr>
            </w:pPr>
            <w:r w:rsidRPr="00E74965">
              <w:rPr>
                <w:rFonts w:ascii="Verdana" w:eastAsia="Calibri" w:hAnsi="Verdana"/>
                <w:sz w:val="20"/>
                <w:szCs w:val="20"/>
              </w:rPr>
              <w:t>(1f)</w:t>
            </w:r>
          </w:p>
        </w:tc>
        <w:tc>
          <w:tcPr>
            <w:tcW w:w="7358" w:type="dxa"/>
            <w:gridSpan w:val="2"/>
            <w:shd w:val="clear" w:color="auto" w:fill="auto"/>
          </w:tcPr>
          <w:p w14:paraId="2D5C9329" w14:textId="77777777" w:rsidR="00E74965" w:rsidRPr="00E74965" w:rsidRDefault="00E74965" w:rsidP="002A1559">
            <w:pPr>
              <w:spacing w:after="200" w:line="276" w:lineRule="auto"/>
              <w:rPr>
                <w:rFonts w:ascii="Verdana" w:eastAsia="Calibri" w:hAnsi="Verdana"/>
                <w:i/>
                <w:sz w:val="20"/>
                <w:szCs w:val="20"/>
              </w:rPr>
            </w:pPr>
            <w:r w:rsidRPr="00E74965">
              <w:rPr>
                <w:rFonts w:ascii="Verdana" w:eastAsia="Calibri" w:hAnsi="Verdana"/>
                <w:i/>
                <w:sz w:val="20"/>
                <w:szCs w:val="20"/>
              </w:rPr>
              <w:t xml:space="preserve">any applicable investment restrictions; </w:t>
            </w:r>
          </w:p>
        </w:tc>
        <w:tc>
          <w:tcPr>
            <w:tcW w:w="2832" w:type="dxa"/>
            <w:shd w:val="clear" w:color="auto" w:fill="auto"/>
          </w:tcPr>
          <w:p w14:paraId="5386656F"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c>
          <w:tcPr>
            <w:tcW w:w="1733" w:type="dxa"/>
            <w:shd w:val="clear" w:color="auto" w:fill="auto"/>
          </w:tcPr>
          <w:p w14:paraId="65EE2F7C"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r>
      <w:tr w:rsidR="00E74965" w:rsidRPr="00E74965" w14:paraId="78DC9C3F" w14:textId="77777777" w:rsidTr="002A1559">
        <w:tc>
          <w:tcPr>
            <w:tcW w:w="1117" w:type="dxa"/>
            <w:shd w:val="clear" w:color="auto" w:fill="auto"/>
          </w:tcPr>
          <w:p w14:paraId="140AD777" w14:textId="77777777" w:rsidR="00E74965" w:rsidRPr="00E74965" w:rsidRDefault="00E74965" w:rsidP="002A1559">
            <w:pPr>
              <w:spacing w:after="200" w:line="276" w:lineRule="auto"/>
              <w:rPr>
                <w:rFonts w:ascii="Verdana" w:eastAsia="Calibri" w:hAnsi="Verdana"/>
                <w:b/>
                <w:bCs/>
                <w:sz w:val="20"/>
                <w:szCs w:val="20"/>
              </w:rPr>
            </w:pPr>
            <w:r w:rsidRPr="00E74965">
              <w:rPr>
                <w:rFonts w:ascii="Verdana" w:eastAsia="Calibri" w:hAnsi="Verdana"/>
                <w:b/>
                <w:bCs/>
                <w:sz w:val="20"/>
                <w:szCs w:val="20"/>
              </w:rPr>
              <w:t>(1a)</w:t>
            </w:r>
          </w:p>
        </w:tc>
        <w:tc>
          <w:tcPr>
            <w:tcW w:w="1134" w:type="dxa"/>
            <w:shd w:val="clear" w:color="auto" w:fill="auto"/>
          </w:tcPr>
          <w:p w14:paraId="7EF8A3B4" w14:textId="77777777" w:rsidR="00E74965" w:rsidRPr="00E74965" w:rsidRDefault="00E74965" w:rsidP="002A1559">
            <w:pPr>
              <w:spacing w:after="200" w:line="276" w:lineRule="auto"/>
              <w:rPr>
                <w:rFonts w:ascii="Verdana" w:eastAsia="Calibri" w:hAnsi="Verdana"/>
                <w:sz w:val="20"/>
                <w:szCs w:val="20"/>
              </w:rPr>
            </w:pPr>
            <w:r w:rsidRPr="00E74965">
              <w:rPr>
                <w:rFonts w:ascii="Verdana" w:eastAsia="Calibri" w:hAnsi="Verdana"/>
                <w:sz w:val="20"/>
                <w:szCs w:val="20"/>
              </w:rPr>
              <w:t>(1g)</w:t>
            </w:r>
          </w:p>
        </w:tc>
        <w:tc>
          <w:tcPr>
            <w:tcW w:w="7358" w:type="dxa"/>
            <w:gridSpan w:val="2"/>
            <w:shd w:val="clear" w:color="auto" w:fill="auto"/>
          </w:tcPr>
          <w:p w14:paraId="23AD286E" w14:textId="77777777" w:rsidR="00E74965" w:rsidRPr="00E74965" w:rsidRDefault="00E74965" w:rsidP="002A1559">
            <w:pPr>
              <w:spacing w:after="200" w:line="276" w:lineRule="auto"/>
              <w:rPr>
                <w:rFonts w:ascii="Verdana" w:eastAsia="Calibri" w:hAnsi="Verdana"/>
                <w:i/>
                <w:sz w:val="20"/>
                <w:szCs w:val="20"/>
              </w:rPr>
            </w:pPr>
            <w:r w:rsidRPr="00E74965">
              <w:rPr>
                <w:rFonts w:ascii="Verdana" w:eastAsia="Calibri" w:hAnsi="Verdana"/>
                <w:i/>
                <w:sz w:val="20"/>
                <w:szCs w:val="20"/>
              </w:rPr>
              <w:t xml:space="preserve">the circumstances in which the AIF may use leverage; </w:t>
            </w:r>
          </w:p>
        </w:tc>
        <w:tc>
          <w:tcPr>
            <w:tcW w:w="2832" w:type="dxa"/>
            <w:shd w:val="clear" w:color="auto" w:fill="auto"/>
          </w:tcPr>
          <w:p w14:paraId="44F4B723"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c>
          <w:tcPr>
            <w:tcW w:w="1733" w:type="dxa"/>
            <w:shd w:val="clear" w:color="auto" w:fill="auto"/>
          </w:tcPr>
          <w:p w14:paraId="7B2295E0"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r>
      <w:tr w:rsidR="00E74965" w:rsidRPr="00E74965" w14:paraId="0A3C24F3" w14:textId="77777777" w:rsidTr="002A1559">
        <w:tc>
          <w:tcPr>
            <w:tcW w:w="1117" w:type="dxa"/>
            <w:shd w:val="clear" w:color="auto" w:fill="auto"/>
          </w:tcPr>
          <w:p w14:paraId="4263100D" w14:textId="77777777" w:rsidR="00E74965" w:rsidRPr="00E74965" w:rsidRDefault="00E74965" w:rsidP="002A1559">
            <w:pPr>
              <w:spacing w:after="200" w:line="276" w:lineRule="auto"/>
              <w:rPr>
                <w:rFonts w:ascii="Verdana" w:eastAsia="Calibri" w:hAnsi="Verdana"/>
                <w:b/>
                <w:bCs/>
                <w:sz w:val="20"/>
                <w:szCs w:val="20"/>
              </w:rPr>
            </w:pPr>
            <w:r w:rsidRPr="00E74965">
              <w:rPr>
                <w:rFonts w:ascii="Verdana" w:eastAsia="Calibri" w:hAnsi="Verdana"/>
                <w:b/>
                <w:bCs/>
                <w:sz w:val="20"/>
                <w:szCs w:val="20"/>
              </w:rPr>
              <w:t>(1a)</w:t>
            </w:r>
          </w:p>
        </w:tc>
        <w:tc>
          <w:tcPr>
            <w:tcW w:w="1134" w:type="dxa"/>
            <w:shd w:val="clear" w:color="auto" w:fill="auto"/>
          </w:tcPr>
          <w:p w14:paraId="6D6BA39A" w14:textId="77777777" w:rsidR="00E74965" w:rsidRPr="00E74965" w:rsidRDefault="00E74965" w:rsidP="002A1559">
            <w:pPr>
              <w:spacing w:after="200" w:line="276" w:lineRule="auto"/>
              <w:rPr>
                <w:rFonts w:ascii="Verdana" w:eastAsia="Calibri" w:hAnsi="Verdana"/>
                <w:sz w:val="20"/>
                <w:szCs w:val="20"/>
              </w:rPr>
            </w:pPr>
            <w:r w:rsidRPr="00E74965">
              <w:rPr>
                <w:rFonts w:ascii="Verdana" w:eastAsia="Calibri" w:hAnsi="Verdana"/>
                <w:sz w:val="20"/>
                <w:szCs w:val="20"/>
              </w:rPr>
              <w:t>(1h)</w:t>
            </w:r>
          </w:p>
        </w:tc>
        <w:tc>
          <w:tcPr>
            <w:tcW w:w="7358" w:type="dxa"/>
            <w:gridSpan w:val="2"/>
            <w:shd w:val="clear" w:color="auto" w:fill="auto"/>
          </w:tcPr>
          <w:p w14:paraId="557045D4" w14:textId="77777777" w:rsidR="00E74965" w:rsidRPr="00E74965" w:rsidRDefault="00E74965" w:rsidP="002A1559">
            <w:pPr>
              <w:spacing w:after="200" w:line="276" w:lineRule="auto"/>
              <w:rPr>
                <w:rFonts w:ascii="Verdana" w:eastAsia="Calibri" w:hAnsi="Verdana"/>
                <w:i/>
                <w:sz w:val="20"/>
                <w:szCs w:val="20"/>
              </w:rPr>
            </w:pPr>
            <w:r w:rsidRPr="00E74965">
              <w:rPr>
                <w:rFonts w:ascii="Verdana" w:eastAsia="Calibri" w:hAnsi="Verdana"/>
                <w:i/>
                <w:sz w:val="20"/>
                <w:szCs w:val="20"/>
              </w:rPr>
              <w:t xml:space="preserve">the types and sources of leverage permitted and the associated risks; </w:t>
            </w:r>
          </w:p>
        </w:tc>
        <w:tc>
          <w:tcPr>
            <w:tcW w:w="2832" w:type="dxa"/>
            <w:shd w:val="clear" w:color="auto" w:fill="auto"/>
          </w:tcPr>
          <w:p w14:paraId="4F33ABA8"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c>
          <w:tcPr>
            <w:tcW w:w="1733" w:type="dxa"/>
            <w:shd w:val="clear" w:color="auto" w:fill="auto"/>
          </w:tcPr>
          <w:p w14:paraId="0C4D3D7A"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r>
      <w:tr w:rsidR="00E74965" w:rsidRPr="00E74965" w14:paraId="2DC0C059" w14:textId="77777777" w:rsidTr="002A1559">
        <w:tc>
          <w:tcPr>
            <w:tcW w:w="1117" w:type="dxa"/>
            <w:shd w:val="clear" w:color="auto" w:fill="auto"/>
          </w:tcPr>
          <w:p w14:paraId="40623786" w14:textId="77777777" w:rsidR="00E74965" w:rsidRPr="00E74965" w:rsidRDefault="00E74965" w:rsidP="002A1559">
            <w:pPr>
              <w:spacing w:after="200" w:line="276" w:lineRule="auto"/>
              <w:rPr>
                <w:rFonts w:ascii="Verdana" w:eastAsia="Calibri" w:hAnsi="Verdana"/>
                <w:b/>
                <w:bCs/>
                <w:sz w:val="20"/>
                <w:szCs w:val="20"/>
              </w:rPr>
            </w:pPr>
            <w:r w:rsidRPr="00E74965">
              <w:rPr>
                <w:rFonts w:ascii="Verdana" w:eastAsia="Calibri" w:hAnsi="Verdana"/>
                <w:b/>
                <w:bCs/>
                <w:sz w:val="20"/>
                <w:szCs w:val="20"/>
              </w:rPr>
              <w:t>(1a)</w:t>
            </w:r>
          </w:p>
        </w:tc>
        <w:tc>
          <w:tcPr>
            <w:tcW w:w="1134" w:type="dxa"/>
            <w:shd w:val="clear" w:color="auto" w:fill="auto"/>
          </w:tcPr>
          <w:p w14:paraId="12F8E0D5" w14:textId="77777777" w:rsidR="00E74965" w:rsidRPr="00E74965" w:rsidRDefault="00E74965" w:rsidP="002A1559">
            <w:pPr>
              <w:spacing w:after="200" w:line="276" w:lineRule="auto"/>
              <w:rPr>
                <w:rFonts w:ascii="Verdana" w:eastAsia="Calibri" w:hAnsi="Verdana"/>
                <w:sz w:val="20"/>
                <w:szCs w:val="20"/>
              </w:rPr>
            </w:pPr>
            <w:r w:rsidRPr="00E74965">
              <w:rPr>
                <w:rFonts w:ascii="Verdana" w:eastAsia="Calibri" w:hAnsi="Verdana"/>
                <w:sz w:val="20"/>
                <w:szCs w:val="20"/>
              </w:rPr>
              <w:t>(1i)</w:t>
            </w:r>
          </w:p>
        </w:tc>
        <w:tc>
          <w:tcPr>
            <w:tcW w:w="7358" w:type="dxa"/>
            <w:gridSpan w:val="2"/>
            <w:shd w:val="clear" w:color="auto" w:fill="auto"/>
          </w:tcPr>
          <w:p w14:paraId="70D5F3FD" w14:textId="77777777" w:rsidR="00E74965" w:rsidRPr="00E74965" w:rsidRDefault="00E74965" w:rsidP="002A1559">
            <w:pPr>
              <w:spacing w:after="200" w:line="276" w:lineRule="auto"/>
              <w:rPr>
                <w:rFonts w:ascii="Verdana" w:eastAsia="Calibri" w:hAnsi="Verdana"/>
                <w:i/>
                <w:sz w:val="20"/>
                <w:szCs w:val="20"/>
              </w:rPr>
            </w:pPr>
            <w:r w:rsidRPr="00E74965">
              <w:rPr>
                <w:rFonts w:ascii="Verdana" w:eastAsia="Calibri" w:hAnsi="Verdana"/>
                <w:i/>
                <w:sz w:val="20"/>
                <w:szCs w:val="20"/>
              </w:rPr>
              <w:t>any restrictions on the use of leverage and any collateral and asset reuse arrangements; and</w:t>
            </w:r>
          </w:p>
        </w:tc>
        <w:tc>
          <w:tcPr>
            <w:tcW w:w="2832" w:type="dxa"/>
            <w:shd w:val="clear" w:color="auto" w:fill="auto"/>
          </w:tcPr>
          <w:p w14:paraId="5AFE1BFB"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c>
          <w:tcPr>
            <w:tcW w:w="1733" w:type="dxa"/>
            <w:shd w:val="clear" w:color="auto" w:fill="auto"/>
          </w:tcPr>
          <w:p w14:paraId="61845BC0"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r>
      <w:tr w:rsidR="00E74965" w:rsidRPr="00E74965" w14:paraId="2C27A999" w14:textId="77777777" w:rsidTr="002A1559">
        <w:tc>
          <w:tcPr>
            <w:tcW w:w="1117" w:type="dxa"/>
            <w:shd w:val="clear" w:color="auto" w:fill="auto"/>
          </w:tcPr>
          <w:p w14:paraId="569FE9E0" w14:textId="77777777" w:rsidR="00E74965" w:rsidRPr="00E74965" w:rsidRDefault="00E74965" w:rsidP="002A1559">
            <w:pPr>
              <w:spacing w:after="200" w:line="276" w:lineRule="auto"/>
              <w:rPr>
                <w:rFonts w:ascii="Verdana" w:eastAsia="Calibri" w:hAnsi="Verdana"/>
                <w:b/>
                <w:bCs/>
                <w:sz w:val="20"/>
                <w:szCs w:val="20"/>
              </w:rPr>
            </w:pPr>
            <w:r w:rsidRPr="00E74965">
              <w:rPr>
                <w:rFonts w:ascii="Verdana" w:eastAsia="Calibri" w:hAnsi="Verdana"/>
                <w:b/>
                <w:bCs/>
                <w:sz w:val="20"/>
                <w:szCs w:val="20"/>
              </w:rPr>
              <w:t>(1a)</w:t>
            </w:r>
          </w:p>
        </w:tc>
        <w:tc>
          <w:tcPr>
            <w:tcW w:w="1134" w:type="dxa"/>
            <w:shd w:val="clear" w:color="auto" w:fill="auto"/>
          </w:tcPr>
          <w:p w14:paraId="4FDC2485" w14:textId="77777777" w:rsidR="00E74965" w:rsidRPr="00E74965" w:rsidRDefault="00E74965" w:rsidP="002A1559">
            <w:pPr>
              <w:spacing w:after="200" w:line="276" w:lineRule="auto"/>
              <w:rPr>
                <w:rFonts w:ascii="Verdana" w:eastAsia="Calibri" w:hAnsi="Verdana"/>
                <w:sz w:val="20"/>
                <w:szCs w:val="20"/>
              </w:rPr>
            </w:pPr>
            <w:r w:rsidRPr="00E74965">
              <w:rPr>
                <w:rFonts w:ascii="Verdana" w:eastAsia="Calibri" w:hAnsi="Verdana"/>
                <w:sz w:val="20"/>
                <w:szCs w:val="20"/>
              </w:rPr>
              <w:t>(1j)</w:t>
            </w:r>
          </w:p>
        </w:tc>
        <w:tc>
          <w:tcPr>
            <w:tcW w:w="7358" w:type="dxa"/>
            <w:gridSpan w:val="2"/>
            <w:shd w:val="clear" w:color="auto" w:fill="auto"/>
          </w:tcPr>
          <w:p w14:paraId="4B71DC9B" w14:textId="77777777" w:rsidR="00E74965" w:rsidRPr="00E74965" w:rsidRDefault="00E74965" w:rsidP="002A1559">
            <w:pPr>
              <w:spacing w:after="200" w:line="276" w:lineRule="auto"/>
              <w:rPr>
                <w:rFonts w:ascii="Verdana" w:eastAsia="Calibri" w:hAnsi="Verdana"/>
                <w:i/>
                <w:sz w:val="20"/>
                <w:szCs w:val="20"/>
              </w:rPr>
            </w:pPr>
            <w:r w:rsidRPr="00E74965">
              <w:rPr>
                <w:rFonts w:ascii="Verdana" w:eastAsia="Calibri" w:hAnsi="Verdana"/>
                <w:i/>
                <w:sz w:val="20"/>
                <w:szCs w:val="20"/>
              </w:rPr>
              <w:t xml:space="preserve">the maximum level of leverage which the AIFM is entitled to employ on behalf of the AIF; </w:t>
            </w:r>
          </w:p>
        </w:tc>
        <w:tc>
          <w:tcPr>
            <w:tcW w:w="2832" w:type="dxa"/>
            <w:shd w:val="clear" w:color="auto" w:fill="auto"/>
          </w:tcPr>
          <w:p w14:paraId="6A28FB6D"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c>
          <w:tcPr>
            <w:tcW w:w="1733" w:type="dxa"/>
            <w:shd w:val="clear" w:color="auto" w:fill="auto"/>
          </w:tcPr>
          <w:p w14:paraId="41426BA0"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r>
      <w:tr w:rsidR="00E74965" w:rsidRPr="00E74965" w14:paraId="724D5F22" w14:textId="77777777" w:rsidTr="002A1559">
        <w:tc>
          <w:tcPr>
            <w:tcW w:w="1117" w:type="dxa"/>
            <w:shd w:val="clear" w:color="auto" w:fill="auto"/>
          </w:tcPr>
          <w:p w14:paraId="08A22F92" w14:textId="77777777" w:rsidR="00E74965" w:rsidRPr="00E74965" w:rsidRDefault="00E74965" w:rsidP="002A1559">
            <w:pPr>
              <w:spacing w:after="200" w:line="276" w:lineRule="auto"/>
              <w:rPr>
                <w:rFonts w:ascii="Verdana" w:eastAsia="Calibri" w:hAnsi="Verdana"/>
                <w:b/>
                <w:bCs/>
                <w:sz w:val="20"/>
                <w:szCs w:val="20"/>
              </w:rPr>
            </w:pPr>
            <w:r w:rsidRPr="00E74965">
              <w:rPr>
                <w:rFonts w:ascii="Verdana" w:eastAsia="Calibri" w:hAnsi="Verdana"/>
                <w:b/>
                <w:bCs/>
                <w:sz w:val="20"/>
                <w:szCs w:val="20"/>
              </w:rPr>
              <w:t>(1b)</w:t>
            </w:r>
          </w:p>
        </w:tc>
        <w:tc>
          <w:tcPr>
            <w:tcW w:w="1134" w:type="dxa"/>
            <w:shd w:val="clear" w:color="auto" w:fill="auto"/>
          </w:tcPr>
          <w:p w14:paraId="5107B779" w14:textId="77777777" w:rsidR="00E74965" w:rsidRPr="00E74965" w:rsidRDefault="00E74965" w:rsidP="002A1559">
            <w:pPr>
              <w:spacing w:after="200" w:line="276" w:lineRule="auto"/>
              <w:rPr>
                <w:rFonts w:ascii="Verdana" w:eastAsia="Calibri" w:hAnsi="Verdana"/>
                <w:sz w:val="20"/>
                <w:szCs w:val="20"/>
              </w:rPr>
            </w:pPr>
            <w:r w:rsidRPr="00E74965">
              <w:rPr>
                <w:rFonts w:ascii="Verdana" w:eastAsia="Calibri" w:hAnsi="Verdana"/>
                <w:sz w:val="20"/>
                <w:szCs w:val="20"/>
              </w:rPr>
              <w:t>(2)</w:t>
            </w:r>
          </w:p>
        </w:tc>
        <w:tc>
          <w:tcPr>
            <w:tcW w:w="7358" w:type="dxa"/>
            <w:gridSpan w:val="2"/>
            <w:shd w:val="clear" w:color="auto" w:fill="auto"/>
          </w:tcPr>
          <w:p w14:paraId="30168914" w14:textId="77777777" w:rsidR="00E74965" w:rsidRPr="00E74965" w:rsidRDefault="00E74965" w:rsidP="002A1559">
            <w:pPr>
              <w:spacing w:after="200" w:line="276" w:lineRule="auto"/>
              <w:rPr>
                <w:rFonts w:ascii="Verdana" w:eastAsia="Calibri" w:hAnsi="Verdana"/>
                <w:i/>
                <w:sz w:val="20"/>
                <w:szCs w:val="20"/>
              </w:rPr>
            </w:pPr>
            <w:r w:rsidRPr="00E74965">
              <w:rPr>
                <w:rFonts w:ascii="Verdana" w:eastAsia="Calibri" w:hAnsi="Verdana"/>
                <w:i/>
                <w:sz w:val="20"/>
                <w:szCs w:val="20"/>
              </w:rPr>
              <w:t>a description of the procedures by which the AIF may change its investment strategy or investment policy, or both;</w:t>
            </w:r>
          </w:p>
        </w:tc>
        <w:tc>
          <w:tcPr>
            <w:tcW w:w="2832" w:type="dxa"/>
            <w:shd w:val="clear" w:color="auto" w:fill="auto"/>
          </w:tcPr>
          <w:p w14:paraId="6B95A239"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c>
          <w:tcPr>
            <w:tcW w:w="1733" w:type="dxa"/>
            <w:shd w:val="clear" w:color="auto" w:fill="auto"/>
          </w:tcPr>
          <w:p w14:paraId="667D5C5E"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r>
      <w:tr w:rsidR="00E74965" w:rsidRPr="00E74965" w14:paraId="47F71A71" w14:textId="77777777" w:rsidTr="002A1559">
        <w:tc>
          <w:tcPr>
            <w:tcW w:w="1117" w:type="dxa"/>
            <w:shd w:val="clear" w:color="auto" w:fill="auto"/>
          </w:tcPr>
          <w:p w14:paraId="1D478527" w14:textId="77777777" w:rsidR="00E74965" w:rsidRPr="00E74965" w:rsidRDefault="00E74965" w:rsidP="002A1559">
            <w:pPr>
              <w:spacing w:after="200" w:line="276" w:lineRule="auto"/>
              <w:rPr>
                <w:rFonts w:ascii="Verdana" w:eastAsia="Calibri" w:hAnsi="Verdana"/>
                <w:b/>
                <w:bCs/>
                <w:sz w:val="20"/>
                <w:szCs w:val="20"/>
              </w:rPr>
            </w:pPr>
            <w:r w:rsidRPr="00E74965">
              <w:rPr>
                <w:rFonts w:ascii="Verdana" w:eastAsia="Calibri" w:hAnsi="Verdana"/>
                <w:b/>
                <w:bCs/>
                <w:sz w:val="20"/>
                <w:szCs w:val="20"/>
              </w:rPr>
              <w:t>(1c)</w:t>
            </w:r>
          </w:p>
        </w:tc>
        <w:tc>
          <w:tcPr>
            <w:tcW w:w="1134" w:type="dxa"/>
            <w:shd w:val="clear" w:color="auto" w:fill="auto"/>
          </w:tcPr>
          <w:p w14:paraId="5BCBEEED" w14:textId="77777777" w:rsidR="00E74965" w:rsidRPr="00E74965" w:rsidRDefault="00E74965" w:rsidP="002A1559">
            <w:pPr>
              <w:spacing w:after="200" w:line="276" w:lineRule="auto"/>
              <w:rPr>
                <w:rFonts w:ascii="Verdana" w:eastAsia="Calibri" w:hAnsi="Verdana"/>
                <w:sz w:val="20"/>
                <w:szCs w:val="20"/>
              </w:rPr>
            </w:pPr>
            <w:r w:rsidRPr="00E74965">
              <w:rPr>
                <w:rFonts w:ascii="Verdana" w:eastAsia="Calibri" w:hAnsi="Verdana"/>
                <w:sz w:val="20"/>
                <w:szCs w:val="20"/>
              </w:rPr>
              <w:t>(3)</w:t>
            </w:r>
          </w:p>
        </w:tc>
        <w:tc>
          <w:tcPr>
            <w:tcW w:w="7358" w:type="dxa"/>
            <w:gridSpan w:val="2"/>
            <w:shd w:val="clear" w:color="auto" w:fill="auto"/>
          </w:tcPr>
          <w:p w14:paraId="3999D80F" w14:textId="77777777" w:rsidR="00E74965" w:rsidRPr="00E74965" w:rsidRDefault="00E74965" w:rsidP="002A1559">
            <w:pPr>
              <w:spacing w:after="200" w:line="276" w:lineRule="auto"/>
              <w:rPr>
                <w:rFonts w:ascii="Verdana" w:eastAsia="Calibri" w:hAnsi="Verdana"/>
                <w:i/>
                <w:sz w:val="20"/>
                <w:szCs w:val="20"/>
              </w:rPr>
            </w:pPr>
            <w:r w:rsidRPr="00E74965">
              <w:rPr>
                <w:rFonts w:ascii="Verdana" w:eastAsia="Calibri" w:hAnsi="Verdana"/>
                <w:i/>
                <w:sz w:val="20"/>
                <w:szCs w:val="20"/>
              </w:rPr>
              <w:t>a description of the main legal implications of the contractual relationship entered into for the purpose of investment, including information on jurisdiction, the applicable law and the existence or absence of any legal instruments providing for the recognition and enforcement of judgments in the territory where the AIF is established;</w:t>
            </w:r>
          </w:p>
        </w:tc>
        <w:tc>
          <w:tcPr>
            <w:tcW w:w="2832" w:type="dxa"/>
            <w:shd w:val="clear" w:color="auto" w:fill="auto"/>
          </w:tcPr>
          <w:p w14:paraId="5E0288BF"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c>
          <w:tcPr>
            <w:tcW w:w="1733" w:type="dxa"/>
            <w:shd w:val="clear" w:color="auto" w:fill="auto"/>
          </w:tcPr>
          <w:p w14:paraId="2244E44D"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r>
      <w:tr w:rsidR="00E74965" w:rsidRPr="00E74965" w14:paraId="5AE68F36" w14:textId="77777777" w:rsidTr="002A1559">
        <w:tc>
          <w:tcPr>
            <w:tcW w:w="1117" w:type="dxa"/>
            <w:shd w:val="clear" w:color="auto" w:fill="auto"/>
          </w:tcPr>
          <w:p w14:paraId="6DBE2AED" w14:textId="77777777" w:rsidR="00E74965" w:rsidRPr="00E74965" w:rsidRDefault="00E74965" w:rsidP="002A1559">
            <w:pPr>
              <w:spacing w:after="200" w:line="276" w:lineRule="auto"/>
              <w:rPr>
                <w:rFonts w:ascii="Verdana" w:eastAsia="Calibri" w:hAnsi="Verdana"/>
                <w:b/>
                <w:bCs/>
                <w:sz w:val="20"/>
                <w:szCs w:val="20"/>
              </w:rPr>
            </w:pPr>
            <w:r w:rsidRPr="00E74965">
              <w:rPr>
                <w:rFonts w:ascii="Verdana" w:eastAsia="Calibri" w:hAnsi="Verdana"/>
                <w:b/>
                <w:bCs/>
                <w:sz w:val="20"/>
                <w:szCs w:val="20"/>
              </w:rPr>
              <w:lastRenderedPageBreak/>
              <w:t>(1d)</w:t>
            </w:r>
          </w:p>
        </w:tc>
        <w:tc>
          <w:tcPr>
            <w:tcW w:w="1134" w:type="dxa"/>
            <w:shd w:val="clear" w:color="auto" w:fill="auto"/>
          </w:tcPr>
          <w:p w14:paraId="3381CA0C" w14:textId="77777777" w:rsidR="00E74965" w:rsidRPr="00E74965" w:rsidRDefault="00E74965" w:rsidP="002A1559">
            <w:pPr>
              <w:spacing w:after="200" w:line="276" w:lineRule="auto"/>
              <w:rPr>
                <w:rFonts w:ascii="Verdana" w:eastAsia="Calibri" w:hAnsi="Verdana"/>
                <w:sz w:val="20"/>
                <w:szCs w:val="20"/>
              </w:rPr>
            </w:pPr>
            <w:r w:rsidRPr="00E74965">
              <w:rPr>
                <w:rFonts w:ascii="Verdana" w:eastAsia="Calibri" w:hAnsi="Verdana"/>
                <w:sz w:val="20"/>
                <w:szCs w:val="20"/>
              </w:rPr>
              <w:t>(4)</w:t>
            </w:r>
          </w:p>
        </w:tc>
        <w:tc>
          <w:tcPr>
            <w:tcW w:w="7358" w:type="dxa"/>
            <w:gridSpan w:val="2"/>
            <w:shd w:val="clear" w:color="auto" w:fill="auto"/>
          </w:tcPr>
          <w:p w14:paraId="15310342" w14:textId="77777777" w:rsidR="00E74965" w:rsidRPr="00E74965" w:rsidRDefault="00E74965" w:rsidP="002A1559">
            <w:pPr>
              <w:spacing w:after="200" w:line="276" w:lineRule="auto"/>
              <w:rPr>
                <w:rFonts w:ascii="Verdana" w:eastAsia="Calibri" w:hAnsi="Verdana"/>
                <w:i/>
                <w:sz w:val="20"/>
                <w:szCs w:val="20"/>
              </w:rPr>
            </w:pPr>
            <w:r w:rsidRPr="00E74965">
              <w:rPr>
                <w:rFonts w:ascii="Verdana" w:eastAsia="Calibri" w:hAnsi="Verdana"/>
                <w:i/>
                <w:sz w:val="20"/>
                <w:szCs w:val="20"/>
              </w:rPr>
              <w:t xml:space="preserve">the identity of the AIFM, the AIF's depositary, the auditor and any other service providers and a description of their duties and the investors' rights; </w:t>
            </w:r>
          </w:p>
        </w:tc>
        <w:tc>
          <w:tcPr>
            <w:tcW w:w="2832" w:type="dxa"/>
            <w:shd w:val="clear" w:color="auto" w:fill="auto"/>
          </w:tcPr>
          <w:p w14:paraId="1456A6BD"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c>
          <w:tcPr>
            <w:tcW w:w="1733" w:type="dxa"/>
            <w:shd w:val="clear" w:color="auto" w:fill="auto"/>
          </w:tcPr>
          <w:p w14:paraId="5B475722"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r>
      <w:tr w:rsidR="00E74965" w:rsidRPr="00E74965" w14:paraId="40B3E634" w14:textId="77777777" w:rsidTr="002A1559">
        <w:tc>
          <w:tcPr>
            <w:tcW w:w="1117" w:type="dxa"/>
            <w:shd w:val="clear" w:color="auto" w:fill="auto"/>
          </w:tcPr>
          <w:p w14:paraId="5A10FEFB" w14:textId="77777777" w:rsidR="00E74965" w:rsidRPr="00E74965" w:rsidRDefault="00E74965" w:rsidP="002A1559">
            <w:pPr>
              <w:spacing w:after="200" w:line="276" w:lineRule="auto"/>
              <w:rPr>
                <w:rFonts w:ascii="Verdana" w:eastAsia="Calibri" w:hAnsi="Verdana"/>
                <w:b/>
                <w:bCs/>
                <w:sz w:val="20"/>
                <w:szCs w:val="20"/>
              </w:rPr>
            </w:pPr>
            <w:r w:rsidRPr="00E74965">
              <w:rPr>
                <w:rFonts w:ascii="Verdana" w:eastAsia="Calibri" w:hAnsi="Verdana"/>
                <w:b/>
                <w:bCs/>
                <w:sz w:val="20"/>
                <w:szCs w:val="20"/>
              </w:rPr>
              <w:t>(1e)</w:t>
            </w:r>
          </w:p>
        </w:tc>
        <w:tc>
          <w:tcPr>
            <w:tcW w:w="1134" w:type="dxa"/>
            <w:shd w:val="clear" w:color="auto" w:fill="auto"/>
          </w:tcPr>
          <w:p w14:paraId="5912C065" w14:textId="77777777" w:rsidR="00E74965" w:rsidRPr="00E74965" w:rsidRDefault="00E74965" w:rsidP="002A1559">
            <w:pPr>
              <w:spacing w:after="200" w:line="276" w:lineRule="auto"/>
              <w:rPr>
                <w:rFonts w:ascii="Verdana" w:eastAsia="Calibri" w:hAnsi="Verdana"/>
                <w:sz w:val="20"/>
                <w:szCs w:val="20"/>
              </w:rPr>
            </w:pPr>
            <w:r w:rsidRPr="00E74965">
              <w:rPr>
                <w:rFonts w:ascii="Verdana" w:eastAsia="Calibri" w:hAnsi="Verdana"/>
                <w:sz w:val="20"/>
                <w:szCs w:val="20"/>
              </w:rPr>
              <w:t>(5)</w:t>
            </w:r>
          </w:p>
        </w:tc>
        <w:tc>
          <w:tcPr>
            <w:tcW w:w="7358" w:type="dxa"/>
            <w:gridSpan w:val="2"/>
            <w:shd w:val="clear" w:color="auto" w:fill="auto"/>
          </w:tcPr>
          <w:p w14:paraId="3F6BBB08" w14:textId="77777777" w:rsidR="00E74965" w:rsidRPr="00E74965" w:rsidRDefault="00E74965" w:rsidP="003351C0">
            <w:pPr>
              <w:spacing w:after="200" w:line="276" w:lineRule="auto"/>
              <w:rPr>
                <w:rFonts w:ascii="Verdana" w:eastAsia="Calibri" w:hAnsi="Verdana"/>
                <w:i/>
                <w:sz w:val="20"/>
                <w:szCs w:val="20"/>
              </w:rPr>
            </w:pPr>
            <w:r w:rsidRPr="00E74965">
              <w:rPr>
                <w:rFonts w:ascii="Verdana" w:eastAsia="Calibri" w:hAnsi="Verdana"/>
                <w:i/>
                <w:sz w:val="20"/>
                <w:szCs w:val="20"/>
              </w:rPr>
              <w:t xml:space="preserve">a description of how the AIFM complies with the requirements (professional negligence) </w:t>
            </w:r>
            <w:r w:rsidRPr="00E74965">
              <w:rPr>
                <w:rFonts w:ascii="Verdana" w:eastAsia="Calibri" w:hAnsi="Verdana"/>
                <w:sz w:val="20"/>
                <w:szCs w:val="20"/>
              </w:rPr>
              <w:t>relating</w:t>
            </w:r>
            <w:r w:rsidRPr="00E74965">
              <w:rPr>
                <w:rFonts w:ascii="Verdana" w:eastAsia="Calibri" w:hAnsi="Verdana"/>
                <w:i/>
                <w:sz w:val="20"/>
                <w:szCs w:val="20"/>
              </w:rPr>
              <w:t xml:space="preserve"> to professional liability risk;</w:t>
            </w:r>
          </w:p>
        </w:tc>
        <w:tc>
          <w:tcPr>
            <w:tcW w:w="2832" w:type="dxa"/>
            <w:shd w:val="clear" w:color="auto" w:fill="auto"/>
          </w:tcPr>
          <w:p w14:paraId="22F301AB"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c>
          <w:tcPr>
            <w:tcW w:w="1733" w:type="dxa"/>
            <w:shd w:val="clear" w:color="auto" w:fill="auto"/>
          </w:tcPr>
          <w:p w14:paraId="5F93B5D7" w14:textId="77777777" w:rsidR="00E74965" w:rsidRPr="00E74965" w:rsidRDefault="00E74965" w:rsidP="00231EBD">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r>
      <w:tr w:rsidR="00E74965" w:rsidRPr="00E74965" w14:paraId="185629A7" w14:textId="77777777" w:rsidTr="002A1559">
        <w:tc>
          <w:tcPr>
            <w:tcW w:w="1117" w:type="dxa"/>
            <w:shd w:val="clear" w:color="auto" w:fill="auto"/>
          </w:tcPr>
          <w:p w14:paraId="50931E59" w14:textId="77777777" w:rsidR="00E74965" w:rsidRPr="00E74965" w:rsidRDefault="00E74965" w:rsidP="002A1559">
            <w:pPr>
              <w:spacing w:after="200" w:line="276" w:lineRule="auto"/>
              <w:rPr>
                <w:rFonts w:ascii="Verdana" w:eastAsia="Calibri" w:hAnsi="Verdana"/>
                <w:b/>
                <w:bCs/>
                <w:sz w:val="20"/>
                <w:szCs w:val="20"/>
              </w:rPr>
            </w:pPr>
            <w:r w:rsidRPr="00E74965">
              <w:rPr>
                <w:rFonts w:ascii="Verdana" w:eastAsia="Calibri" w:hAnsi="Verdana"/>
                <w:b/>
                <w:bCs/>
                <w:sz w:val="20"/>
                <w:szCs w:val="20"/>
              </w:rPr>
              <w:t>(1f)</w:t>
            </w:r>
          </w:p>
        </w:tc>
        <w:tc>
          <w:tcPr>
            <w:tcW w:w="1134" w:type="dxa"/>
            <w:shd w:val="clear" w:color="auto" w:fill="auto"/>
          </w:tcPr>
          <w:p w14:paraId="370024C8" w14:textId="77777777" w:rsidR="00E74965" w:rsidRPr="00E74965" w:rsidRDefault="00E74965" w:rsidP="002A1559">
            <w:pPr>
              <w:spacing w:after="200" w:line="276" w:lineRule="auto"/>
              <w:rPr>
                <w:rFonts w:ascii="Verdana" w:eastAsia="Calibri" w:hAnsi="Verdana"/>
                <w:sz w:val="20"/>
                <w:szCs w:val="20"/>
              </w:rPr>
            </w:pPr>
            <w:r w:rsidRPr="00E74965">
              <w:rPr>
                <w:rFonts w:ascii="Verdana" w:eastAsia="Calibri" w:hAnsi="Verdana"/>
                <w:sz w:val="20"/>
                <w:szCs w:val="20"/>
              </w:rPr>
              <w:t xml:space="preserve">(6)  </w:t>
            </w:r>
          </w:p>
        </w:tc>
        <w:tc>
          <w:tcPr>
            <w:tcW w:w="7358" w:type="dxa"/>
            <w:gridSpan w:val="2"/>
            <w:shd w:val="clear" w:color="auto" w:fill="auto"/>
          </w:tcPr>
          <w:p w14:paraId="1B8FEE71" w14:textId="77777777" w:rsidR="00E74965" w:rsidRPr="00E74965" w:rsidRDefault="00E74965" w:rsidP="002A1559">
            <w:pPr>
              <w:spacing w:after="200" w:line="276" w:lineRule="auto"/>
              <w:rPr>
                <w:rFonts w:ascii="Verdana" w:eastAsia="Calibri" w:hAnsi="Verdana"/>
                <w:i/>
                <w:sz w:val="20"/>
                <w:szCs w:val="20"/>
              </w:rPr>
            </w:pPr>
            <w:r w:rsidRPr="00E74965">
              <w:rPr>
                <w:rFonts w:ascii="Verdana" w:eastAsia="Calibri" w:hAnsi="Verdana"/>
                <w:i/>
                <w:sz w:val="20"/>
                <w:szCs w:val="20"/>
              </w:rPr>
              <w:t xml:space="preserve">a description of: </w:t>
            </w:r>
          </w:p>
        </w:tc>
        <w:tc>
          <w:tcPr>
            <w:tcW w:w="2832" w:type="dxa"/>
            <w:shd w:val="clear" w:color="auto" w:fill="auto"/>
          </w:tcPr>
          <w:p w14:paraId="7BBB1A19" w14:textId="77777777" w:rsidR="00E74965" w:rsidRPr="00E74965" w:rsidRDefault="00E74965" w:rsidP="002A1559">
            <w:pPr>
              <w:spacing w:after="200" w:line="276" w:lineRule="auto"/>
              <w:rPr>
                <w:rFonts w:ascii="Verdana" w:eastAsia="Calibri" w:hAnsi="Verdana"/>
                <w:sz w:val="20"/>
                <w:szCs w:val="20"/>
              </w:rPr>
            </w:pPr>
          </w:p>
        </w:tc>
        <w:tc>
          <w:tcPr>
            <w:tcW w:w="1733" w:type="dxa"/>
            <w:shd w:val="clear" w:color="auto" w:fill="auto"/>
          </w:tcPr>
          <w:p w14:paraId="53E52200" w14:textId="77777777" w:rsidR="00E74965" w:rsidRPr="00E74965" w:rsidRDefault="00E74965" w:rsidP="002A1559">
            <w:pPr>
              <w:spacing w:after="200" w:line="276" w:lineRule="auto"/>
              <w:rPr>
                <w:rFonts w:ascii="Verdana" w:eastAsia="Calibri" w:hAnsi="Verdana"/>
                <w:sz w:val="20"/>
                <w:szCs w:val="20"/>
              </w:rPr>
            </w:pPr>
          </w:p>
        </w:tc>
      </w:tr>
      <w:tr w:rsidR="00E74965" w:rsidRPr="00E74965" w14:paraId="7609B33C" w14:textId="77777777" w:rsidTr="002A1559">
        <w:tc>
          <w:tcPr>
            <w:tcW w:w="1117" w:type="dxa"/>
            <w:shd w:val="clear" w:color="auto" w:fill="auto"/>
          </w:tcPr>
          <w:p w14:paraId="3C88A25E" w14:textId="77777777" w:rsidR="00E74965" w:rsidRPr="00E74965" w:rsidRDefault="00E74965" w:rsidP="002A1559">
            <w:pPr>
              <w:spacing w:after="200" w:line="276" w:lineRule="auto"/>
              <w:rPr>
                <w:rFonts w:ascii="Verdana" w:eastAsia="Calibri" w:hAnsi="Verdana"/>
                <w:b/>
                <w:bCs/>
                <w:sz w:val="20"/>
                <w:szCs w:val="20"/>
              </w:rPr>
            </w:pPr>
            <w:r w:rsidRPr="00E74965">
              <w:rPr>
                <w:rFonts w:ascii="Verdana" w:eastAsia="Calibri" w:hAnsi="Verdana"/>
                <w:b/>
                <w:bCs/>
                <w:sz w:val="20"/>
                <w:szCs w:val="20"/>
              </w:rPr>
              <w:t>(1f)</w:t>
            </w:r>
          </w:p>
        </w:tc>
        <w:tc>
          <w:tcPr>
            <w:tcW w:w="1134" w:type="dxa"/>
            <w:shd w:val="clear" w:color="auto" w:fill="auto"/>
          </w:tcPr>
          <w:p w14:paraId="60C9BA8D" w14:textId="77777777" w:rsidR="00E74965" w:rsidRPr="00E74965" w:rsidRDefault="00E74965" w:rsidP="002A1559">
            <w:pPr>
              <w:spacing w:after="200" w:line="276" w:lineRule="auto"/>
              <w:rPr>
                <w:rFonts w:ascii="Verdana" w:eastAsia="Calibri" w:hAnsi="Verdana"/>
                <w:sz w:val="20"/>
                <w:szCs w:val="20"/>
              </w:rPr>
            </w:pPr>
            <w:r w:rsidRPr="00E74965">
              <w:rPr>
                <w:rFonts w:ascii="Verdana" w:eastAsia="Calibri" w:hAnsi="Verdana"/>
                <w:sz w:val="20"/>
                <w:szCs w:val="20"/>
              </w:rPr>
              <w:t>(6a)</w:t>
            </w:r>
          </w:p>
        </w:tc>
        <w:tc>
          <w:tcPr>
            <w:tcW w:w="7358" w:type="dxa"/>
            <w:gridSpan w:val="2"/>
            <w:shd w:val="clear" w:color="auto" w:fill="auto"/>
          </w:tcPr>
          <w:p w14:paraId="36069B39" w14:textId="77777777" w:rsidR="00E74965" w:rsidRPr="00E74965" w:rsidRDefault="00E74965" w:rsidP="002A1559">
            <w:pPr>
              <w:spacing w:after="200" w:line="276" w:lineRule="auto"/>
              <w:rPr>
                <w:rFonts w:ascii="Verdana" w:eastAsia="Calibri" w:hAnsi="Verdana"/>
                <w:i/>
                <w:sz w:val="20"/>
                <w:szCs w:val="20"/>
              </w:rPr>
            </w:pPr>
            <w:r w:rsidRPr="00E74965">
              <w:rPr>
                <w:rFonts w:ascii="Verdana" w:eastAsia="Calibri" w:hAnsi="Verdana"/>
                <w:i/>
                <w:sz w:val="20"/>
                <w:szCs w:val="20"/>
              </w:rPr>
              <w:t xml:space="preserve">any AIFM management function delegated by the AIFM; </w:t>
            </w:r>
          </w:p>
        </w:tc>
        <w:tc>
          <w:tcPr>
            <w:tcW w:w="2832" w:type="dxa"/>
            <w:shd w:val="clear" w:color="auto" w:fill="auto"/>
          </w:tcPr>
          <w:p w14:paraId="367DB80B"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c>
          <w:tcPr>
            <w:tcW w:w="1733" w:type="dxa"/>
            <w:shd w:val="clear" w:color="auto" w:fill="auto"/>
          </w:tcPr>
          <w:p w14:paraId="100A4BC6"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r>
      <w:tr w:rsidR="00E74965" w:rsidRPr="00E74965" w14:paraId="5B54FB8B" w14:textId="77777777" w:rsidTr="002A1559">
        <w:tc>
          <w:tcPr>
            <w:tcW w:w="1117" w:type="dxa"/>
            <w:shd w:val="clear" w:color="auto" w:fill="auto"/>
          </w:tcPr>
          <w:p w14:paraId="6D2DE980" w14:textId="77777777" w:rsidR="00E74965" w:rsidRPr="00E74965" w:rsidRDefault="00E74965" w:rsidP="002A1559">
            <w:pPr>
              <w:spacing w:after="200" w:line="276" w:lineRule="auto"/>
              <w:rPr>
                <w:rFonts w:ascii="Verdana" w:eastAsia="Calibri" w:hAnsi="Verdana"/>
                <w:b/>
                <w:bCs/>
                <w:sz w:val="20"/>
                <w:szCs w:val="20"/>
              </w:rPr>
            </w:pPr>
            <w:r w:rsidRPr="00E74965">
              <w:rPr>
                <w:rFonts w:ascii="Verdana" w:eastAsia="Calibri" w:hAnsi="Verdana"/>
                <w:b/>
                <w:bCs/>
                <w:sz w:val="20"/>
                <w:szCs w:val="20"/>
              </w:rPr>
              <w:t>(1f)</w:t>
            </w:r>
          </w:p>
        </w:tc>
        <w:tc>
          <w:tcPr>
            <w:tcW w:w="1134" w:type="dxa"/>
            <w:shd w:val="clear" w:color="auto" w:fill="auto"/>
          </w:tcPr>
          <w:p w14:paraId="1563B223" w14:textId="77777777" w:rsidR="00E74965" w:rsidRPr="00E74965" w:rsidRDefault="00E74965" w:rsidP="002A1559">
            <w:pPr>
              <w:spacing w:after="200" w:line="276" w:lineRule="auto"/>
              <w:rPr>
                <w:rFonts w:ascii="Verdana" w:eastAsia="Calibri" w:hAnsi="Verdana"/>
                <w:sz w:val="20"/>
                <w:szCs w:val="20"/>
              </w:rPr>
            </w:pPr>
            <w:r w:rsidRPr="00E74965">
              <w:rPr>
                <w:rFonts w:ascii="Verdana" w:eastAsia="Calibri" w:hAnsi="Verdana"/>
                <w:sz w:val="20"/>
                <w:szCs w:val="20"/>
              </w:rPr>
              <w:t>(6b)</w:t>
            </w:r>
          </w:p>
        </w:tc>
        <w:tc>
          <w:tcPr>
            <w:tcW w:w="7358" w:type="dxa"/>
            <w:gridSpan w:val="2"/>
            <w:shd w:val="clear" w:color="auto" w:fill="auto"/>
          </w:tcPr>
          <w:p w14:paraId="2CB5AC14" w14:textId="77777777" w:rsidR="00E74965" w:rsidRPr="00E74965" w:rsidRDefault="00E74965" w:rsidP="002A1559">
            <w:pPr>
              <w:spacing w:after="200" w:line="276" w:lineRule="auto"/>
              <w:rPr>
                <w:rFonts w:ascii="Verdana" w:eastAsia="Calibri" w:hAnsi="Verdana"/>
                <w:i/>
                <w:sz w:val="20"/>
                <w:szCs w:val="20"/>
              </w:rPr>
            </w:pPr>
            <w:r w:rsidRPr="00E74965">
              <w:rPr>
                <w:rFonts w:ascii="Verdana" w:eastAsia="Calibri" w:hAnsi="Verdana"/>
                <w:i/>
                <w:sz w:val="20"/>
                <w:szCs w:val="20"/>
              </w:rPr>
              <w:t>any safe-keeping function delegated by the depositary;</w:t>
            </w:r>
          </w:p>
        </w:tc>
        <w:tc>
          <w:tcPr>
            <w:tcW w:w="2832" w:type="dxa"/>
            <w:shd w:val="clear" w:color="auto" w:fill="auto"/>
          </w:tcPr>
          <w:p w14:paraId="50973A0E"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c>
          <w:tcPr>
            <w:tcW w:w="1733" w:type="dxa"/>
            <w:shd w:val="clear" w:color="auto" w:fill="auto"/>
          </w:tcPr>
          <w:p w14:paraId="549B0D2B"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r>
      <w:tr w:rsidR="00E74965" w:rsidRPr="00E74965" w14:paraId="4D690563" w14:textId="77777777" w:rsidTr="002A1559">
        <w:tc>
          <w:tcPr>
            <w:tcW w:w="1117" w:type="dxa"/>
            <w:shd w:val="clear" w:color="auto" w:fill="auto"/>
          </w:tcPr>
          <w:p w14:paraId="6642E3ED" w14:textId="77777777" w:rsidR="00E74965" w:rsidRPr="00E74965" w:rsidRDefault="00E74965" w:rsidP="002A1559">
            <w:pPr>
              <w:spacing w:after="200" w:line="276" w:lineRule="auto"/>
              <w:rPr>
                <w:rFonts w:ascii="Verdana" w:eastAsia="Calibri" w:hAnsi="Verdana"/>
                <w:b/>
                <w:bCs/>
                <w:sz w:val="20"/>
                <w:szCs w:val="20"/>
              </w:rPr>
            </w:pPr>
            <w:r w:rsidRPr="00E74965">
              <w:rPr>
                <w:rFonts w:ascii="Verdana" w:eastAsia="Calibri" w:hAnsi="Verdana"/>
                <w:b/>
                <w:bCs/>
                <w:sz w:val="20"/>
                <w:szCs w:val="20"/>
              </w:rPr>
              <w:t>(1f)</w:t>
            </w:r>
          </w:p>
        </w:tc>
        <w:tc>
          <w:tcPr>
            <w:tcW w:w="1134" w:type="dxa"/>
            <w:shd w:val="clear" w:color="auto" w:fill="auto"/>
          </w:tcPr>
          <w:p w14:paraId="2F2EF289" w14:textId="77777777" w:rsidR="00E74965" w:rsidRPr="00E74965" w:rsidRDefault="00E74965" w:rsidP="002A1559">
            <w:pPr>
              <w:spacing w:after="200" w:line="276" w:lineRule="auto"/>
              <w:rPr>
                <w:rFonts w:ascii="Verdana" w:eastAsia="Calibri" w:hAnsi="Verdana"/>
                <w:sz w:val="20"/>
                <w:szCs w:val="20"/>
              </w:rPr>
            </w:pPr>
            <w:r w:rsidRPr="00E74965">
              <w:rPr>
                <w:rFonts w:ascii="Verdana" w:eastAsia="Calibri" w:hAnsi="Verdana"/>
                <w:sz w:val="20"/>
                <w:szCs w:val="20"/>
              </w:rPr>
              <w:t>(6c)</w:t>
            </w:r>
          </w:p>
        </w:tc>
        <w:tc>
          <w:tcPr>
            <w:tcW w:w="7358" w:type="dxa"/>
            <w:gridSpan w:val="2"/>
            <w:shd w:val="clear" w:color="auto" w:fill="auto"/>
          </w:tcPr>
          <w:p w14:paraId="371B39C7" w14:textId="77777777" w:rsidR="00E74965" w:rsidRPr="00E74965" w:rsidRDefault="00E74965" w:rsidP="00231EBD">
            <w:pPr>
              <w:spacing w:after="200" w:line="276" w:lineRule="auto"/>
              <w:rPr>
                <w:rFonts w:ascii="Verdana" w:eastAsia="Calibri" w:hAnsi="Verdana"/>
                <w:i/>
                <w:sz w:val="20"/>
                <w:szCs w:val="20"/>
              </w:rPr>
            </w:pPr>
            <w:r w:rsidRPr="00E74965">
              <w:rPr>
                <w:rFonts w:ascii="Verdana" w:eastAsia="Calibri" w:hAnsi="Verdana"/>
                <w:i/>
                <w:sz w:val="20"/>
                <w:szCs w:val="20"/>
              </w:rPr>
              <w:t>the identity of each delegate appointed in accordance with FUND 3.10 (Delegation); and</w:t>
            </w:r>
          </w:p>
        </w:tc>
        <w:tc>
          <w:tcPr>
            <w:tcW w:w="2832" w:type="dxa"/>
            <w:shd w:val="clear" w:color="auto" w:fill="auto"/>
          </w:tcPr>
          <w:p w14:paraId="2A845020"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c>
          <w:tcPr>
            <w:tcW w:w="1733" w:type="dxa"/>
            <w:shd w:val="clear" w:color="auto" w:fill="auto"/>
          </w:tcPr>
          <w:p w14:paraId="3102A462"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r>
      <w:tr w:rsidR="00E74965" w:rsidRPr="00E74965" w14:paraId="25B2C6B4" w14:textId="77777777" w:rsidTr="002A1559">
        <w:tc>
          <w:tcPr>
            <w:tcW w:w="1117" w:type="dxa"/>
            <w:shd w:val="clear" w:color="auto" w:fill="auto"/>
          </w:tcPr>
          <w:p w14:paraId="5100933C" w14:textId="77777777" w:rsidR="00E74965" w:rsidRPr="00E74965" w:rsidRDefault="00E74965" w:rsidP="002A1559">
            <w:pPr>
              <w:spacing w:after="200" w:line="276" w:lineRule="auto"/>
              <w:rPr>
                <w:rFonts w:ascii="Verdana" w:eastAsia="Calibri" w:hAnsi="Verdana"/>
                <w:b/>
                <w:bCs/>
                <w:sz w:val="20"/>
                <w:szCs w:val="20"/>
              </w:rPr>
            </w:pPr>
            <w:r w:rsidRPr="00E74965">
              <w:rPr>
                <w:rFonts w:ascii="Verdana" w:eastAsia="Calibri" w:hAnsi="Verdana"/>
                <w:b/>
                <w:bCs/>
                <w:sz w:val="20"/>
                <w:szCs w:val="20"/>
              </w:rPr>
              <w:t>(1f)</w:t>
            </w:r>
          </w:p>
        </w:tc>
        <w:tc>
          <w:tcPr>
            <w:tcW w:w="1134" w:type="dxa"/>
            <w:shd w:val="clear" w:color="auto" w:fill="auto"/>
          </w:tcPr>
          <w:p w14:paraId="1E1D50B2" w14:textId="77777777" w:rsidR="00E74965" w:rsidRPr="00E74965" w:rsidRDefault="00E74965" w:rsidP="002A1559">
            <w:pPr>
              <w:spacing w:after="200" w:line="276" w:lineRule="auto"/>
              <w:rPr>
                <w:rFonts w:ascii="Verdana" w:eastAsia="Calibri" w:hAnsi="Verdana"/>
                <w:sz w:val="20"/>
                <w:szCs w:val="20"/>
              </w:rPr>
            </w:pPr>
            <w:r w:rsidRPr="00E74965">
              <w:rPr>
                <w:rFonts w:ascii="Verdana" w:eastAsia="Calibri" w:hAnsi="Verdana"/>
                <w:sz w:val="20"/>
                <w:szCs w:val="20"/>
              </w:rPr>
              <w:t>(6d)</w:t>
            </w:r>
          </w:p>
        </w:tc>
        <w:tc>
          <w:tcPr>
            <w:tcW w:w="7358" w:type="dxa"/>
            <w:gridSpan w:val="2"/>
            <w:shd w:val="clear" w:color="auto" w:fill="auto"/>
          </w:tcPr>
          <w:p w14:paraId="65AD85B8" w14:textId="77777777" w:rsidR="00E74965" w:rsidRPr="00E74965" w:rsidRDefault="00E74965" w:rsidP="002A1559">
            <w:pPr>
              <w:spacing w:after="200" w:line="276" w:lineRule="auto"/>
              <w:rPr>
                <w:rFonts w:ascii="Verdana" w:eastAsia="Calibri" w:hAnsi="Verdana"/>
                <w:i/>
                <w:sz w:val="20"/>
                <w:szCs w:val="20"/>
              </w:rPr>
            </w:pPr>
            <w:r w:rsidRPr="00E74965">
              <w:rPr>
                <w:rFonts w:ascii="Verdana" w:eastAsia="Calibri" w:hAnsi="Verdana"/>
                <w:i/>
                <w:sz w:val="20"/>
                <w:szCs w:val="20"/>
              </w:rPr>
              <w:t>any conflicts of interest that may arise from such delegations;</w:t>
            </w:r>
          </w:p>
        </w:tc>
        <w:tc>
          <w:tcPr>
            <w:tcW w:w="2832" w:type="dxa"/>
            <w:shd w:val="clear" w:color="auto" w:fill="auto"/>
          </w:tcPr>
          <w:p w14:paraId="4CEFC181"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c>
          <w:tcPr>
            <w:tcW w:w="1733" w:type="dxa"/>
            <w:shd w:val="clear" w:color="auto" w:fill="auto"/>
          </w:tcPr>
          <w:p w14:paraId="24DF4DA7"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r>
      <w:tr w:rsidR="00E74965" w:rsidRPr="00E74965" w14:paraId="16357F40" w14:textId="77777777" w:rsidTr="002A1559">
        <w:tc>
          <w:tcPr>
            <w:tcW w:w="1117" w:type="dxa"/>
            <w:shd w:val="clear" w:color="auto" w:fill="auto"/>
          </w:tcPr>
          <w:p w14:paraId="567DA25C" w14:textId="77777777" w:rsidR="00E74965" w:rsidRPr="00E74965" w:rsidRDefault="00E74965" w:rsidP="002A1559">
            <w:pPr>
              <w:spacing w:after="200" w:line="276" w:lineRule="auto"/>
              <w:rPr>
                <w:rFonts w:ascii="Verdana" w:eastAsia="Calibri" w:hAnsi="Verdana"/>
                <w:b/>
                <w:bCs/>
                <w:sz w:val="20"/>
                <w:szCs w:val="20"/>
              </w:rPr>
            </w:pPr>
            <w:r w:rsidRPr="00E74965">
              <w:rPr>
                <w:rFonts w:ascii="Verdana" w:eastAsia="Calibri" w:hAnsi="Verdana"/>
                <w:b/>
                <w:bCs/>
                <w:sz w:val="20"/>
                <w:szCs w:val="20"/>
              </w:rPr>
              <w:t>(1g)</w:t>
            </w:r>
          </w:p>
        </w:tc>
        <w:tc>
          <w:tcPr>
            <w:tcW w:w="1134" w:type="dxa"/>
            <w:shd w:val="clear" w:color="auto" w:fill="auto"/>
          </w:tcPr>
          <w:p w14:paraId="2CCA7B64" w14:textId="77777777" w:rsidR="00E74965" w:rsidRPr="00E74965" w:rsidRDefault="00E74965" w:rsidP="002A1559">
            <w:pPr>
              <w:spacing w:after="200" w:line="276" w:lineRule="auto"/>
              <w:rPr>
                <w:rFonts w:ascii="Verdana" w:eastAsia="Calibri" w:hAnsi="Verdana"/>
                <w:sz w:val="20"/>
                <w:szCs w:val="20"/>
              </w:rPr>
            </w:pPr>
            <w:r w:rsidRPr="00E74965">
              <w:rPr>
                <w:rFonts w:ascii="Verdana" w:eastAsia="Calibri" w:hAnsi="Verdana"/>
                <w:sz w:val="20"/>
                <w:szCs w:val="20"/>
              </w:rPr>
              <w:t>(7)</w:t>
            </w:r>
          </w:p>
        </w:tc>
        <w:tc>
          <w:tcPr>
            <w:tcW w:w="7358" w:type="dxa"/>
            <w:gridSpan w:val="2"/>
            <w:shd w:val="clear" w:color="auto" w:fill="auto"/>
          </w:tcPr>
          <w:p w14:paraId="6EEC683E" w14:textId="77777777" w:rsidR="00E74965" w:rsidRPr="00E74965" w:rsidRDefault="00E74965" w:rsidP="002A1559">
            <w:pPr>
              <w:spacing w:after="200" w:line="276" w:lineRule="auto"/>
              <w:rPr>
                <w:rFonts w:ascii="Verdana" w:eastAsia="Calibri" w:hAnsi="Verdana"/>
                <w:i/>
                <w:sz w:val="20"/>
                <w:szCs w:val="20"/>
              </w:rPr>
            </w:pPr>
            <w:r w:rsidRPr="00E74965">
              <w:rPr>
                <w:rFonts w:ascii="Verdana" w:eastAsia="Calibri" w:hAnsi="Verdana"/>
                <w:i/>
                <w:sz w:val="20"/>
                <w:szCs w:val="20"/>
              </w:rPr>
              <w:t>a description of the AIF's valuation procedure and of the pricing methodology for valuing assets, including the methods used in valuing any hard-to-value assets, in line with FUND 3.9 (Valuation);</w:t>
            </w:r>
          </w:p>
        </w:tc>
        <w:tc>
          <w:tcPr>
            <w:tcW w:w="2832" w:type="dxa"/>
            <w:shd w:val="clear" w:color="auto" w:fill="auto"/>
          </w:tcPr>
          <w:p w14:paraId="7E680636"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c>
          <w:tcPr>
            <w:tcW w:w="1733" w:type="dxa"/>
            <w:shd w:val="clear" w:color="auto" w:fill="auto"/>
          </w:tcPr>
          <w:p w14:paraId="77C330D6"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r>
      <w:tr w:rsidR="00E74965" w:rsidRPr="00E74965" w14:paraId="131FDFFD" w14:textId="77777777" w:rsidTr="002A1559">
        <w:tc>
          <w:tcPr>
            <w:tcW w:w="1117" w:type="dxa"/>
            <w:shd w:val="clear" w:color="auto" w:fill="auto"/>
          </w:tcPr>
          <w:p w14:paraId="1D5F7752" w14:textId="77777777" w:rsidR="00E74965" w:rsidRPr="00E74965" w:rsidRDefault="00E74965" w:rsidP="002A1559">
            <w:pPr>
              <w:spacing w:after="200" w:line="276" w:lineRule="auto"/>
              <w:rPr>
                <w:rFonts w:ascii="Verdana" w:eastAsia="Calibri" w:hAnsi="Verdana"/>
                <w:b/>
                <w:bCs/>
                <w:sz w:val="20"/>
                <w:szCs w:val="20"/>
              </w:rPr>
            </w:pPr>
            <w:r w:rsidRPr="00E74965">
              <w:rPr>
                <w:rFonts w:ascii="Verdana" w:eastAsia="Calibri" w:hAnsi="Verdana"/>
                <w:b/>
                <w:bCs/>
                <w:sz w:val="20"/>
                <w:szCs w:val="20"/>
              </w:rPr>
              <w:t>(1h)</w:t>
            </w:r>
          </w:p>
        </w:tc>
        <w:tc>
          <w:tcPr>
            <w:tcW w:w="1134" w:type="dxa"/>
            <w:shd w:val="clear" w:color="auto" w:fill="auto"/>
          </w:tcPr>
          <w:p w14:paraId="727139B0" w14:textId="77777777" w:rsidR="00E74965" w:rsidRPr="00E74965" w:rsidRDefault="00E74965" w:rsidP="002A1559">
            <w:pPr>
              <w:spacing w:after="200" w:line="276" w:lineRule="auto"/>
              <w:rPr>
                <w:rFonts w:ascii="Verdana" w:eastAsia="Calibri" w:hAnsi="Verdana"/>
                <w:sz w:val="20"/>
                <w:szCs w:val="20"/>
              </w:rPr>
            </w:pPr>
            <w:r w:rsidRPr="00E74965">
              <w:rPr>
                <w:rFonts w:ascii="Verdana" w:eastAsia="Calibri" w:hAnsi="Verdana"/>
                <w:sz w:val="20"/>
                <w:szCs w:val="20"/>
              </w:rPr>
              <w:t>(8)</w:t>
            </w:r>
          </w:p>
        </w:tc>
        <w:tc>
          <w:tcPr>
            <w:tcW w:w="7358" w:type="dxa"/>
            <w:gridSpan w:val="2"/>
            <w:shd w:val="clear" w:color="auto" w:fill="auto"/>
          </w:tcPr>
          <w:p w14:paraId="7CBEF7EA" w14:textId="77777777" w:rsidR="00E74965" w:rsidRPr="00E74965" w:rsidRDefault="00E74965" w:rsidP="002A1559">
            <w:pPr>
              <w:spacing w:after="200" w:line="276" w:lineRule="auto"/>
              <w:rPr>
                <w:rFonts w:ascii="Verdana" w:eastAsia="Calibri" w:hAnsi="Verdana"/>
                <w:i/>
                <w:sz w:val="20"/>
                <w:szCs w:val="20"/>
              </w:rPr>
            </w:pPr>
            <w:r w:rsidRPr="00E74965">
              <w:rPr>
                <w:rFonts w:ascii="Verdana" w:eastAsia="Calibri" w:hAnsi="Verdana"/>
                <w:i/>
                <w:sz w:val="20"/>
                <w:szCs w:val="20"/>
              </w:rPr>
              <w:t>a description of the AIF's liquidity risk management, including the redemption rights of investors in normal and exceptional circumstances, and the existing redemption arrangements with investors;</w:t>
            </w:r>
          </w:p>
        </w:tc>
        <w:tc>
          <w:tcPr>
            <w:tcW w:w="2832" w:type="dxa"/>
            <w:shd w:val="clear" w:color="auto" w:fill="auto"/>
          </w:tcPr>
          <w:p w14:paraId="4539CA43"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c>
          <w:tcPr>
            <w:tcW w:w="1733" w:type="dxa"/>
            <w:shd w:val="clear" w:color="auto" w:fill="auto"/>
          </w:tcPr>
          <w:p w14:paraId="551148BA"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r>
      <w:tr w:rsidR="00E74965" w:rsidRPr="00E74965" w14:paraId="045E8276" w14:textId="77777777" w:rsidTr="002A1559">
        <w:tc>
          <w:tcPr>
            <w:tcW w:w="1117" w:type="dxa"/>
            <w:shd w:val="clear" w:color="auto" w:fill="auto"/>
          </w:tcPr>
          <w:p w14:paraId="48E0AD46" w14:textId="77777777" w:rsidR="00E74965" w:rsidRPr="00E74965" w:rsidRDefault="00E74965" w:rsidP="002A1559">
            <w:pPr>
              <w:spacing w:after="200" w:line="276" w:lineRule="auto"/>
              <w:rPr>
                <w:rFonts w:ascii="Verdana" w:eastAsia="Calibri" w:hAnsi="Verdana"/>
                <w:b/>
                <w:bCs/>
                <w:sz w:val="20"/>
                <w:szCs w:val="20"/>
              </w:rPr>
            </w:pPr>
            <w:r w:rsidRPr="00E74965">
              <w:rPr>
                <w:rFonts w:ascii="Verdana" w:eastAsia="Calibri" w:hAnsi="Verdana"/>
                <w:b/>
                <w:bCs/>
                <w:sz w:val="20"/>
                <w:szCs w:val="20"/>
              </w:rPr>
              <w:t>(1i)</w:t>
            </w:r>
          </w:p>
        </w:tc>
        <w:tc>
          <w:tcPr>
            <w:tcW w:w="1134" w:type="dxa"/>
            <w:shd w:val="clear" w:color="auto" w:fill="auto"/>
          </w:tcPr>
          <w:p w14:paraId="6E643164" w14:textId="77777777" w:rsidR="00E74965" w:rsidRPr="00E74965" w:rsidRDefault="00E74965" w:rsidP="002A1559">
            <w:pPr>
              <w:spacing w:after="200" w:line="276" w:lineRule="auto"/>
              <w:rPr>
                <w:rFonts w:ascii="Verdana" w:eastAsia="Calibri" w:hAnsi="Verdana"/>
                <w:sz w:val="20"/>
                <w:szCs w:val="20"/>
              </w:rPr>
            </w:pPr>
            <w:r w:rsidRPr="00E74965">
              <w:rPr>
                <w:rFonts w:ascii="Verdana" w:eastAsia="Calibri" w:hAnsi="Verdana"/>
                <w:sz w:val="20"/>
                <w:szCs w:val="20"/>
              </w:rPr>
              <w:t>(9)</w:t>
            </w:r>
          </w:p>
        </w:tc>
        <w:tc>
          <w:tcPr>
            <w:tcW w:w="7358" w:type="dxa"/>
            <w:gridSpan w:val="2"/>
            <w:shd w:val="clear" w:color="auto" w:fill="auto"/>
          </w:tcPr>
          <w:p w14:paraId="14C7B6CD" w14:textId="77777777" w:rsidR="00E74965" w:rsidRPr="00E74965" w:rsidRDefault="00E74965" w:rsidP="002A1559">
            <w:pPr>
              <w:spacing w:after="200" w:line="276" w:lineRule="auto"/>
              <w:rPr>
                <w:rFonts w:ascii="Verdana" w:eastAsia="Calibri" w:hAnsi="Verdana"/>
                <w:i/>
                <w:sz w:val="20"/>
                <w:szCs w:val="20"/>
              </w:rPr>
            </w:pPr>
            <w:r w:rsidRPr="00E74965">
              <w:rPr>
                <w:rFonts w:ascii="Verdana" w:eastAsia="Calibri" w:hAnsi="Verdana"/>
                <w:i/>
                <w:sz w:val="20"/>
                <w:szCs w:val="20"/>
              </w:rPr>
              <w:t xml:space="preserve"> a description of all fees, charges and expenses, and the maximum amounts directly or indirectly borne by investors; </w:t>
            </w:r>
          </w:p>
        </w:tc>
        <w:tc>
          <w:tcPr>
            <w:tcW w:w="2832" w:type="dxa"/>
            <w:shd w:val="clear" w:color="auto" w:fill="auto"/>
          </w:tcPr>
          <w:p w14:paraId="4CBC987C"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c>
          <w:tcPr>
            <w:tcW w:w="1733" w:type="dxa"/>
            <w:shd w:val="clear" w:color="auto" w:fill="auto"/>
          </w:tcPr>
          <w:p w14:paraId="7A32A7DB"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r>
      <w:tr w:rsidR="00E74965" w:rsidRPr="00E74965" w14:paraId="6649F602" w14:textId="77777777" w:rsidTr="002A1559">
        <w:tc>
          <w:tcPr>
            <w:tcW w:w="1117" w:type="dxa"/>
            <w:shd w:val="clear" w:color="auto" w:fill="auto"/>
          </w:tcPr>
          <w:p w14:paraId="38BF8CC2" w14:textId="77777777" w:rsidR="00E74965" w:rsidRPr="00E74965" w:rsidRDefault="00E74965" w:rsidP="002A1559">
            <w:pPr>
              <w:spacing w:after="200" w:line="276" w:lineRule="auto"/>
              <w:rPr>
                <w:rFonts w:ascii="Verdana" w:eastAsia="Calibri" w:hAnsi="Verdana"/>
                <w:b/>
                <w:bCs/>
                <w:sz w:val="20"/>
                <w:szCs w:val="20"/>
              </w:rPr>
            </w:pPr>
            <w:r w:rsidRPr="00E74965">
              <w:rPr>
                <w:rFonts w:ascii="Verdana" w:eastAsia="Calibri" w:hAnsi="Verdana"/>
                <w:b/>
                <w:bCs/>
                <w:sz w:val="20"/>
                <w:szCs w:val="20"/>
              </w:rPr>
              <w:t>(1j)</w:t>
            </w:r>
          </w:p>
        </w:tc>
        <w:tc>
          <w:tcPr>
            <w:tcW w:w="1134" w:type="dxa"/>
            <w:shd w:val="clear" w:color="auto" w:fill="auto"/>
          </w:tcPr>
          <w:p w14:paraId="2787C88B" w14:textId="77777777" w:rsidR="00E74965" w:rsidRPr="00E74965" w:rsidRDefault="00E74965" w:rsidP="002A1559">
            <w:pPr>
              <w:spacing w:after="200" w:line="276" w:lineRule="auto"/>
              <w:rPr>
                <w:rFonts w:ascii="Verdana" w:eastAsia="Calibri" w:hAnsi="Verdana"/>
                <w:sz w:val="20"/>
                <w:szCs w:val="20"/>
              </w:rPr>
            </w:pPr>
            <w:r w:rsidRPr="00E74965">
              <w:rPr>
                <w:rFonts w:ascii="Verdana" w:eastAsia="Calibri" w:hAnsi="Verdana"/>
                <w:sz w:val="20"/>
                <w:szCs w:val="20"/>
              </w:rPr>
              <w:t>(10)</w:t>
            </w:r>
          </w:p>
        </w:tc>
        <w:tc>
          <w:tcPr>
            <w:tcW w:w="7358" w:type="dxa"/>
            <w:gridSpan w:val="2"/>
            <w:shd w:val="clear" w:color="auto" w:fill="auto"/>
          </w:tcPr>
          <w:p w14:paraId="1F253CB6" w14:textId="77777777" w:rsidR="00E74965" w:rsidRPr="00E74965" w:rsidRDefault="00E74965" w:rsidP="002A1559">
            <w:pPr>
              <w:spacing w:after="200" w:line="276" w:lineRule="auto"/>
              <w:rPr>
                <w:rFonts w:ascii="Verdana" w:eastAsia="Calibri" w:hAnsi="Verdana"/>
                <w:i/>
                <w:sz w:val="20"/>
                <w:szCs w:val="20"/>
              </w:rPr>
            </w:pPr>
            <w:r w:rsidRPr="00E74965">
              <w:rPr>
                <w:rFonts w:ascii="Verdana" w:eastAsia="Calibri" w:hAnsi="Verdana"/>
                <w:i/>
                <w:sz w:val="20"/>
                <w:szCs w:val="20"/>
              </w:rPr>
              <w:t xml:space="preserve">a description of how the AIFM ensures a fair treatment of investors; </w:t>
            </w:r>
          </w:p>
        </w:tc>
        <w:tc>
          <w:tcPr>
            <w:tcW w:w="2832" w:type="dxa"/>
            <w:shd w:val="clear" w:color="auto" w:fill="auto"/>
          </w:tcPr>
          <w:p w14:paraId="7296DF24"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c>
          <w:tcPr>
            <w:tcW w:w="1733" w:type="dxa"/>
            <w:shd w:val="clear" w:color="auto" w:fill="auto"/>
          </w:tcPr>
          <w:p w14:paraId="20FB5DCB"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r>
      <w:tr w:rsidR="00E74965" w:rsidRPr="00E74965" w14:paraId="3E40223C" w14:textId="77777777" w:rsidTr="002A1559">
        <w:tc>
          <w:tcPr>
            <w:tcW w:w="1117" w:type="dxa"/>
            <w:shd w:val="clear" w:color="auto" w:fill="auto"/>
          </w:tcPr>
          <w:p w14:paraId="3E6F8C95" w14:textId="77777777" w:rsidR="00E74965" w:rsidRPr="00E74965" w:rsidRDefault="00E74965" w:rsidP="002A1559">
            <w:pPr>
              <w:spacing w:after="200" w:line="276" w:lineRule="auto"/>
              <w:rPr>
                <w:rFonts w:ascii="Verdana" w:eastAsia="Calibri" w:hAnsi="Verdana"/>
                <w:b/>
                <w:bCs/>
                <w:sz w:val="20"/>
                <w:szCs w:val="20"/>
              </w:rPr>
            </w:pPr>
            <w:r w:rsidRPr="00E74965">
              <w:rPr>
                <w:rFonts w:ascii="Verdana" w:eastAsia="Calibri" w:hAnsi="Verdana"/>
                <w:b/>
                <w:bCs/>
                <w:sz w:val="20"/>
                <w:szCs w:val="20"/>
              </w:rPr>
              <w:t>(1j)</w:t>
            </w:r>
          </w:p>
        </w:tc>
        <w:tc>
          <w:tcPr>
            <w:tcW w:w="1134" w:type="dxa"/>
            <w:shd w:val="clear" w:color="auto" w:fill="auto"/>
          </w:tcPr>
          <w:p w14:paraId="58711282" w14:textId="77777777" w:rsidR="00E74965" w:rsidRPr="00E74965" w:rsidRDefault="00E74965" w:rsidP="002A1559">
            <w:pPr>
              <w:spacing w:after="200" w:line="276" w:lineRule="auto"/>
              <w:rPr>
                <w:rFonts w:ascii="Verdana" w:eastAsia="Calibri" w:hAnsi="Verdana"/>
                <w:sz w:val="20"/>
                <w:szCs w:val="20"/>
              </w:rPr>
            </w:pPr>
            <w:r w:rsidRPr="00E74965">
              <w:rPr>
                <w:rFonts w:ascii="Verdana" w:eastAsia="Calibri" w:hAnsi="Verdana"/>
                <w:sz w:val="20"/>
                <w:szCs w:val="20"/>
              </w:rPr>
              <w:t xml:space="preserve">(11)  </w:t>
            </w:r>
          </w:p>
        </w:tc>
        <w:tc>
          <w:tcPr>
            <w:tcW w:w="7358" w:type="dxa"/>
            <w:gridSpan w:val="2"/>
            <w:shd w:val="clear" w:color="auto" w:fill="auto"/>
          </w:tcPr>
          <w:p w14:paraId="04DFF207" w14:textId="77777777" w:rsidR="00E74965" w:rsidRPr="00E74965" w:rsidRDefault="00E74965" w:rsidP="002A1559">
            <w:pPr>
              <w:spacing w:after="200" w:line="276" w:lineRule="auto"/>
              <w:rPr>
                <w:rFonts w:ascii="Verdana" w:eastAsia="Calibri" w:hAnsi="Verdana"/>
                <w:i/>
                <w:sz w:val="20"/>
                <w:szCs w:val="20"/>
              </w:rPr>
            </w:pPr>
            <w:r w:rsidRPr="00E74965">
              <w:rPr>
                <w:rFonts w:ascii="Verdana" w:eastAsia="Calibri" w:hAnsi="Verdana"/>
                <w:i/>
                <w:sz w:val="20"/>
                <w:szCs w:val="20"/>
              </w:rPr>
              <w:t xml:space="preserve">whenever an investor obtains preferential treatment or the right to obtain preferential treatment, a description of: </w:t>
            </w:r>
          </w:p>
        </w:tc>
        <w:tc>
          <w:tcPr>
            <w:tcW w:w="2832" w:type="dxa"/>
            <w:shd w:val="clear" w:color="auto" w:fill="auto"/>
          </w:tcPr>
          <w:p w14:paraId="1E54A021"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c>
          <w:tcPr>
            <w:tcW w:w="1733" w:type="dxa"/>
            <w:shd w:val="clear" w:color="auto" w:fill="auto"/>
          </w:tcPr>
          <w:p w14:paraId="2F8FE490"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r>
      <w:tr w:rsidR="00E74965" w:rsidRPr="00E74965" w14:paraId="17946C42" w14:textId="77777777" w:rsidTr="002A1559">
        <w:tc>
          <w:tcPr>
            <w:tcW w:w="1117" w:type="dxa"/>
            <w:shd w:val="clear" w:color="auto" w:fill="auto"/>
          </w:tcPr>
          <w:p w14:paraId="3D6E1AEF" w14:textId="77777777" w:rsidR="00E74965" w:rsidRPr="00E74965" w:rsidRDefault="00E74965" w:rsidP="002A1559">
            <w:pPr>
              <w:spacing w:after="200" w:line="276" w:lineRule="auto"/>
              <w:rPr>
                <w:rFonts w:ascii="Verdana" w:eastAsia="Calibri" w:hAnsi="Verdana"/>
                <w:b/>
                <w:bCs/>
                <w:sz w:val="20"/>
                <w:szCs w:val="20"/>
              </w:rPr>
            </w:pPr>
            <w:r w:rsidRPr="00E74965">
              <w:rPr>
                <w:rFonts w:ascii="Verdana" w:eastAsia="Calibri" w:hAnsi="Verdana"/>
                <w:b/>
                <w:bCs/>
                <w:sz w:val="20"/>
                <w:szCs w:val="20"/>
              </w:rPr>
              <w:lastRenderedPageBreak/>
              <w:t>(1j)</w:t>
            </w:r>
          </w:p>
        </w:tc>
        <w:tc>
          <w:tcPr>
            <w:tcW w:w="1134" w:type="dxa"/>
            <w:shd w:val="clear" w:color="auto" w:fill="auto"/>
          </w:tcPr>
          <w:p w14:paraId="440C1313" w14:textId="77777777" w:rsidR="00E74965" w:rsidRPr="00E74965" w:rsidRDefault="00E74965" w:rsidP="002A1559">
            <w:pPr>
              <w:spacing w:after="200" w:line="276" w:lineRule="auto"/>
              <w:rPr>
                <w:rFonts w:ascii="Verdana" w:eastAsia="Calibri" w:hAnsi="Verdana"/>
                <w:sz w:val="20"/>
                <w:szCs w:val="20"/>
              </w:rPr>
            </w:pPr>
            <w:r w:rsidRPr="00E74965">
              <w:rPr>
                <w:rFonts w:ascii="Verdana" w:eastAsia="Calibri" w:hAnsi="Verdana"/>
                <w:sz w:val="20"/>
                <w:szCs w:val="20"/>
              </w:rPr>
              <w:t>(11a)</w:t>
            </w:r>
          </w:p>
        </w:tc>
        <w:tc>
          <w:tcPr>
            <w:tcW w:w="7358" w:type="dxa"/>
            <w:gridSpan w:val="2"/>
            <w:shd w:val="clear" w:color="auto" w:fill="auto"/>
          </w:tcPr>
          <w:p w14:paraId="1E4487FC" w14:textId="77777777" w:rsidR="00E74965" w:rsidRPr="00E74965" w:rsidRDefault="00E74965" w:rsidP="002A1559">
            <w:pPr>
              <w:spacing w:after="200" w:line="276" w:lineRule="auto"/>
              <w:rPr>
                <w:rFonts w:ascii="Verdana" w:eastAsia="Calibri" w:hAnsi="Verdana"/>
                <w:i/>
                <w:sz w:val="20"/>
                <w:szCs w:val="20"/>
              </w:rPr>
            </w:pPr>
            <w:r w:rsidRPr="00E74965">
              <w:rPr>
                <w:rFonts w:ascii="Verdana" w:eastAsia="Calibri" w:hAnsi="Verdana"/>
                <w:i/>
                <w:sz w:val="20"/>
                <w:szCs w:val="20"/>
              </w:rPr>
              <w:t xml:space="preserve">that preferential treatment; </w:t>
            </w:r>
          </w:p>
        </w:tc>
        <w:tc>
          <w:tcPr>
            <w:tcW w:w="2832" w:type="dxa"/>
            <w:shd w:val="clear" w:color="auto" w:fill="auto"/>
          </w:tcPr>
          <w:p w14:paraId="46219E58"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c>
          <w:tcPr>
            <w:tcW w:w="1733" w:type="dxa"/>
            <w:shd w:val="clear" w:color="auto" w:fill="auto"/>
          </w:tcPr>
          <w:p w14:paraId="12C480F8"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r>
      <w:tr w:rsidR="00E74965" w:rsidRPr="00E74965" w14:paraId="3613E9C7" w14:textId="77777777" w:rsidTr="002A1559">
        <w:tc>
          <w:tcPr>
            <w:tcW w:w="1117" w:type="dxa"/>
            <w:shd w:val="clear" w:color="auto" w:fill="auto"/>
          </w:tcPr>
          <w:p w14:paraId="3409E25D" w14:textId="77777777" w:rsidR="00E74965" w:rsidRPr="00E74965" w:rsidRDefault="00E74965" w:rsidP="002A1559">
            <w:pPr>
              <w:spacing w:after="200" w:line="276" w:lineRule="auto"/>
              <w:rPr>
                <w:rFonts w:ascii="Verdana" w:eastAsia="Calibri" w:hAnsi="Verdana"/>
                <w:b/>
                <w:bCs/>
                <w:sz w:val="20"/>
                <w:szCs w:val="20"/>
              </w:rPr>
            </w:pPr>
            <w:r w:rsidRPr="00E74965">
              <w:rPr>
                <w:rFonts w:ascii="Verdana" w:eastAsia="Calibri" w:hAnsi="Verdana"/>
                <w:b/>
                <w:bCs/>
                <w:sz w:val="20"/>
                <w:szCs w:val="20"/>
              </w:rPr>
              <w:t>(1j)</w:t>
            </w:r>
          </w:p>
        </w:tc>
        <w:tc>
          <w:tcPr>
            <w:tcW w:w="1134" w:type="dxa"/>
            <w:shd w:val="clear" w:color="auto" w:fill="auto"/>
          </w:tcPr>
          <w:p w14:paraId="7A3DE113" w14:textId="77777777" w:rsidR="00E74965" w:rsidRPr="00E74965" w:rsidRDefault="00E74965" w:rsidP="002A1559">
            <w:pPr>
              <w:spacing w:after="200" w:line="276" w:lineRule="auto"/>
              <w:rPr>
                <w:rFonts w:ascii="Verdana" w:eastAsia="Calibri" w:hAnsi="Verdana"/>
                <w:sz w:val="20"/>
                <w:szCs w:val="20"/>
              </w:rPr>
            </w:pPr>
            <w:r w:rsidRPr="00E74965">
              <w:rPr>
                <w:rFonts w:ascii="Verdana" w:eastAsia="Calibri" w:hAnsi="Verdana"/>
                <w:sz w:val="20"/>
                <w:szCs w:val="20"/>
              </w:rPr>
              <w:t>(11b)</w:t>
            </w:r>
          </w:p>
        </w:tc>
        <w:tc>
          <w:tcPr>
            <w:tcW w:w="7358" w:type="dxa"/>
            <w:gridSpan w:val="2"/>
            <w:shd w:val="clear" w:color="auto" w:fill="auto"/>
          </w:tcPr>
          <w:p w14:paraId="32F08732" w14:textId="77777777" w:rsidR="00E74965" w:rsidRPr="00E74965" w:rsidRDefault="00E74965" w:rsidP="002A1559">
            <w:pPr>
              <w:spacing w:after="200" w:line="276" w:lineRule="auto"/>
              <w:rPr>
                <w:rFonts w:ascii="Verdana" w:eastAsia="Calibri" w:hAnsi="Verdana"/>
                <w:i/>
                <w:sz w:val="20"/>
                <w:szCs w:val="20"/>
              </w:rPr>
            </w:pPr>
            <w:r w:rsidRPr="00E74965">
              <w:rPr>
                <w:rFonts w:ascii="Verdana" w:eastAsia="Calibri" w:hAnsi="Verdana"/>
                <w:i/>
                <w:sz w:val="20"/>
                <w:szCs w:val="20"/>
              </w:rPr>
              <w:t>the type of investors who obtain such preferential treatment; and</w:t>
            </w:r>
          </w:p>
        </w:tc>
        <w:tc>
          <w:tcPr>
            <w:tcW w:w="2832" w:type="dxa"/>
            <w:shd w:val="clear" w:color="auto" w:fill="auto"/>
          </w:tcPr>
          <w:p w14:paraId="507F5537"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c>
          <w:tcPr>
            <w:tcW w:w="1733" w:type="dxa"/>
            <w:shd w:val="clear" w:color="auto" w:fill="auto"/>
          </w:tcPr>
          <w:p w14:paraId="3FF506D5"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r>
      <w:tr w:rsidR="00E74965" w:rsidRPr="00E74965" w14:paraId="11479520" w14:textId="77777777" w:rsidTr="002A1559">
        <w:tc>
          <w:tcPr>
            <w:tcW w:w="1117" w:type="dxa"/>
            <w:shd w:val="clear" w:color="auto" w:fill="auto"/>
          </w:tcPr>
          <w:p w14:paraId="34FC4D50" w14:textId="77777777" w:rsidR="00E74965" w:rsidRPr="00E74965" w:rsidRDefault="00E74965" w:rsidP="002A1559">
            <w:pPr>
              <w:spacing w:after="200" w:line="276" w:lineRule="auto"/>
              <w:rPr>
                <w:rFonts w:ascii="Verdana" w:eastAsia="Calibri" w:hAnsi="Verdana"/>
                <w:b/>
                <w:bCs/>
                <w:sz w:val="20"/>
                <w:szCs w:val="20"/>
              </w:rPr>
            </w:pPr>
            <w:r w:rsidRPr="00E74965">
              <w:rPr>
                <w:rFonts w:ascii="Verdana" w:eastAsia="Calibri" w:hAnsi="Verdana"/>
                <w:b/>
                <w:bCs/>
                <w:sz w:val="20"/>
                <w:szCs w:val="20"/>
              </w:rPr>
              <w:t>(1j)</w:t>
            </w:r>
          </w:p>
        </w:tc>
        <w:tc>
          <w:tcPr>
            <w:tcW w:w="1134" w:type="dxa"/>
            <w:shd w:val="clear" w:color="auto" w:fill="auto"/>
          </w:tcPr>
          <w:p w14:paraId="4E2EBD9E" w14:textId="77777777" w:rsidR="00E74965" w:rsidRPr="00E74965" w:rsidRDefault="00E74965" w:rsidP="002A1559">
            <w:pPr>
              <w:spacing w:after="200" w:line="276" w:lineRule="auto"/>
              <w:rPr>
                <w:rFonts w:ascii="Verdana" w:eastAsia="Calibri" w:hAnsi="Verdana"/>
                <w:sz w:val="20"/>
                <w:szCs w:val="20"/>
              </w:rPr>
            </w:pPr>
            <w:r w:rsidRPr="00E74965">
              <w:rPr>
                <w:rFonts w:ascii="Verdana" w:eastAsia="Calibri" w:hAnsi="Verdana"/>
                <w:sz w:val="20"/>
                <w:szCs w:val="20"/>
              </w:rPr>
              <w:t>(11c)</w:t>
            </w:r>
          </w:p>
        </w:tc>
        <w:tc>
          <w:tcPr>
            <w:tcW w:w="7358" w:type="dxa"/>
            <w:gridSpan w:val="2"/>
            <w:shd w:val="clear" w:color="auto" w:fill="auto"/>
          </w:tcPr>
          <w:p w14:paraId="722D4225" w14:textId="77777777" w:rsidR="00E74965" w:rsidRPr="00E74965" w:rsidRDefault="00E74965" w:rsidP="002A1559">
            <w:pPr>
              <w:spacing w:after="200" w:line="276" w:lineRule="auto"/>
              <w:rPr>
                <w:rFonts w:ascii="Verdana" w:eastAsia="Calibri" w:hAnsi="Verdana"/>
                <w:i/>
                <w:sz w:val="20"/>
                <w:szCs w:val="20"/>
              </w:rPr>
            </w:pPr>
            <w:r w:rsidRPr="00E74965">
              <w:rPr>
                <w:rFonts w:ascii="Verdana" w:eastAsia="Calibri" w:hAnsi="Verdana"/>
                <w:i/>
                <w:sz w:val="20"/>
                <w:szCs w:val="20"/>
              </w:rPr>
              <w:t>where relevant, their legal or economic links with the AIF or AIFM;</w:t>
            </w:r>
          </w:p>
        </w:tc>
        <w:tc>
          <w:tcPr>
            <w:tcW w:w="2832" w:type="dxa"/>
            <w:shd w:val="clear" w:color="auto" w:fill="auto"/>
          </w:tcPr>
          <w:p w14:paraId="4D4F66EC"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c>
          <w:tcPr>
            <w:tcW w:w="1733" w:type="dxa"/>
            <w:shd w:val="clear" w:color="auto" w:fill="auto"/>
          </w:tcPr>
          <w:p w14:paraId="7A2C51B5"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r>
      <w:tr w:rsidR="00E74965" w:rsidRPr="00E74965" w14:paraId="1BE6A971" w14:textId="77777777" w:rsidTr="002A1559">
        <w:tc>
          <w:tcPr>
            <w:tcW w:w="1117" w:type="dxa"/>
            <w:shd w:val="clear" w:color="auto" w:fill="auto"/>
          </w:tcPr>
          <w:p w14:paraId="0230B695" w14:textId="77777777" w:rsidR="00E74965" w:rsidRPr="00E74965" w:rsidRDefault="00E74965" w:rsidP="002A1559">
            <w:pPr>
              <w:spacing w:after="200" w:line="276" w:lineRule="auto"/>
              <w:rPr>
                <w:rFonts w:ascii="Verdana" w:eastAsia="Calibri" w:hAnsi="Verdana"/>
                <w:b/>
                <w:bCs/>
                <w:sz w:val="20"/>
                <w:szCs w:val="20"/>
              </w:rPr>
            </w:pPr>
            <w:r w:rsidRPr="00E74965">
              <w:rPr>
                <w:rFonts w:ascii="Verdana" w:eastAsia="Calibri" w:hAnsi="Verdana"/>
                <w:b/>
                <w:bCs/>
                <w:sz w:val="20"/>
                <w:szCs w:val="20"/>
              </w:rPr>
              <w:t>(1k)</w:t>
            </w:r>
          </w:p>
        </w:tc>
        <w:tc>
          <w:tcPr>
            <w:tcW w:w="1134" w:type="dxa"/>
            <w:shd w:val="clear" w:color="auto" w:fill="auto"/>
          </w:tcPr>
          <w:p w14:paraId="21D93052" w14:textId="77777777" w:rsidR="00E74965" w:rsidRPr="00E74965" w:rsidRDefault="00E74965" w:rsidP="002A1559">
            <w:pPr>
              <w:spacing w:after="200" w:line="276" w:lineRule="auto"/>
              <w:rPr>
                <w:rFonts w:ascii="Verdana" w:eastAsia="Calibri" w:hAnsi="Verdana"/>
                <w:sz w:val="20"/>
                <w:szCs w:val="20"/>
              </w:rPr>
            </w:pPr>
            <w:r w:rsidRPr="00E74965">
              <w:rPr>
                <w:rFonts w:ascii="Verdana" w:eastAsia="Calibri" w:hAnsi="Verdana"/>
                <w:sz w:val="20"/>
                <w:szCs w:val="20"/>
              </w:rPr>
              <w:t>(14)</w:t>
            </w:r>
          </w:p>
        </w:tc>
        <w:tc>
          <w:tcPr>
            <w:tcW w:w="7358" w:type="dxa"/>
            <w:gridSpan w:val="2"/>
            <w:shd w:val="clear" w:color="auto" w:fill="auto"/>
          </w:tcPr>
          <w:p w14:paraId="241F8A7E" w14:textId="77777777" w:rsidR="00E74965" w:rsidRPr="00E74965" w:rsidRDefault="00E74965" w:rsidP="002A1559">
            <w:pPr>
              <w:spacing w:after="200" w:line="276" w:lineRule="auto"/>
              <w:rPr>
                <w:rFonts w:ascii="Verdana" w:eastAsia="Calibri" w:hAnsi="Verdana"/>
                <w:i/>
                <w:sz w:val="20"/>
                <w:szCs w:val="20"/>
              </w:rPr>
            </w:pPr>
            <w:r w:rsidRPr="00E74965">
              <w:rPr>
                <w:rFonts w:ascii="Verdana" w:eastAsia="Calibri" w:hAnsi="Verdana"/>
                <w:i/>
                <w:sz w:val="20"/>
                <w:szCs w:val="20"/>
              </w:rPr>
              <w:t>the latest annual report, in line with FUND 3.3 (Annual report of an AIF);</w:t>
            </w:r>
          </w:p>
        </w:tc>
        <w:tc>
          <w:tcPr>
            <w:tcW w:w="2832" w:type="dxa"/>
            <w:shd w:val="clear" w:color="auto" w:fill="auto"/>
          </w:tcPr>
          <w:p w14:paraId="6910BFF0"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c>
          <w:tcPr>
            <w:tcW w:w="1733" w:type="dxa"/>
            <w:shd w:val="clear" w:color="auto" w:fill="auto"/>
          </w:tcPr>
          <w:p w14:paraId="42A054EC"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r>
      <w:tr w:rsidR="00E74965" w:rsidRPr="00E74965" w14:paraId="1ED07481" w14:textId="77777777" w:rsidTr="002A1559">
        <w:tc>
          <w:tcPr>
            <w:tcW w:w="1117" w:type="dxa"/>
            <w:shd w:val="clear" w:color="auto" w:fill="auto"/>
          </w:tcPr>
          <w:p w14:paraId="7AFF275E" w14:textId="77777777" w:rsidR="00E74965" w:rsidRPr="00E74965" w:rsidRDefault="00E74965" w:rsidP="002A1559">
            <w:pPr>
              <w:spacing w:after="200" w:line="276" w:lineRule="auto"/>
              <w:rPr>
                <w:rFonts w:ascii="Verdana" w:eastAsia="Calibri" w:hAnsi="Verdana"/>
                <w:b/>
                <w:bCs/>
                <w:sz w:val="20"/>
                <w:szCs w:val="20"/>
              </w:rPr>
            </w:pPr>
            <w:r w:rsidRPr="00E74965">
              <w:rPr>
                <w:rFonts w:ascii="Verdana" w:eastAsia="Calibri" w:hAnsi="Verdana"/>
                <w:b/>
                <w:bCs/>
                <w:sz w:val="20"/>
                <w:szCs w:val="20"/>
              </w:rPr>
              <w:t>1(l)</w:t>
            </w:r>
          </w:p>
        </w:tc>
        <w:tc>
          <w:tcPr>
            <w:tcW w:w="1134" w:type="dxa"/>
            <w:shd w:val="clear" w:color="auto" w:fill="auto"/>
          </w:tcPr>
          <w:p w14:paraId="299640C1" w14:textId="77777777" w:rsidR="00E74965" w:rsidRPr="00E74965" w:rsidRDefault="00E74965" w:rsidP="002A1559">
            <w:pPr>
              <w:spacing w:after="200" w:line="276" w:lineRule="auto"/>
              <w:rPr>
                <w:rFonts w:ascii="Verdana" w:eastAsia="Calibri" w:hAnsi="Verdana"/>
                <w:sz w:val="20"/>
                <w:szCs w:val="20"/>
              </w:rPr>
            </w:pPr>
            <w:r w:rsidRPr="00E74965">
              <w:rPr>
                <w:rFonts w:ascii="Verdana" w:eastAsia="Calibri" w:hAnsi="Verdana"/>
                <w:sz w:val="20"/>
                <w:szCs w:val="20"/>
              </w:rPr>
              <w:t>(12)</w:t>
            </w:r>
          </w:p>
        </w:tc>
        <w:tc>
          <w:tcPr>
            <w:tcW w:w="7358" w:type="dxa"/>
            <w:gridSpan w:val="2"/>
            <w:shd w:val="clear" w:color="auto" w:fill="auto"/>
          </w:tcPr>
          <w:p w14:paraId="043EEC7B" w14:textId="77777777" w:rsidR="00E74965" w:rsidRPr="00E74965" w:rsidRDefault="00E74965" w:rsidP="002A1559">
            <w:pPr>
              <w:spacing w:after="200" w:line="276" w:lineRule="auto"/>
              <w:rPr>
                <w:rFonts w:ascii="Verdana" w:eastAsia="Calibri" w:hAnsi="Verdana"/>
                <w:i/>
                <w:sz w:val="20"/>
                <w:szCs w:val="20"/>
              </w:rPr>
            </w:pPr>
            <w:r w:rsidRPr="00E74965">
              <w:rPr>
                <w:rFonts w:ascii="Verdana" w:eastAsia="Calibri" w:hAnsi="Verdana"/>
                <w:i/>
                <w:sz w:val="20"/>
                <w:szCs w:val="20"/>
              </w:rPr>
              <w:t>the procedure and conditions for the issue and sale of units or shares;</w:t>
            </w:r>
          </w:p>
        </w:tc>
        <w:tc>
          <w:tcPr>
            <w:tcW w:w="2832" w:type="dxa"/>
            <w:shd w:val="clear" w:color="auto" w:fill="auto"/>
          </w:tcPr>
          <w:p w14:paraId="7D02DF48"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c>
          <w:tcPr>
            <w:tcW w:w="1733" w:type="dxa"/>
            <w:shd w:val="clear" w:color="auto" w:fill="auto"/>
          </w:tcPr>
          <w:p w14:paraId="723CBAA0"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r>
      <w:tr w:rsidR="00E74965" w:rsidRPr="00E74965" w14:paraId="5C788E3D" w14:textId="77777777" w:rsidTr="00D766A6">
        <w:tc>
          <w:tcPr>
            <w:tcW w:w="1117" w:type="dxa"/>
            <w:shd w:val="clear" w:color="auto" w:fill="auto"/>
          </w:tcPr>
          <w:p w14:paraId="3E122D63" w14:textId="77777777" w:rsidR="00E74965" w:rsidRPr="00E74965" w:rsidRDefault="00E74965" w:rsidP="002A1559">
            <w:pPr>
              <w:spacing w:after="200" w:line="276" w:lineRule="auto"/>
              <w:rPr>
                <w:rFonts w:ascii="Verdana" w:eastAsia="Calibri" w:hAnsi="Verdana"/>
                <w:b/>
                <w:bCs/>
                <w:sz w:val="20"/>
                <w:szCs w:val="20"/>
              </w:rPr>
            </w:pPr>
            <w:r w:rsidRPr="00E74965">
              <w:rPr>
                <w:rFonts w:ascii="Verdana" w:eastAsia="Calibri" w:hAnsi="Verdana"/>
                <w:b/>
                <w:bCs/>
                <w:sz w:val="20"/>
                <w:szCs w:val="20"/>
              </w:rPr>
              <w:t>(1m)</w:t>
            </w:r>
          </w:p>
        </w:tc>
        <w:tc>
          <w:tcPr>
            <w:tcW w:w="1134" w:type="dxa"/>
            <w:shd w:val="clear" w:color="auto" w:fill="auto"/>
          </w:tcPr>
          <w:p w14:paraId="5A641577" w14:textId="77777777" w:rsidR="00E74965" w:rsidRPr="00E74965" w:rsidRDefault="00E74965" w:rsidP="002A1559">
            <w:pPr>
              <w:spacing w:after="200" w:line="276" w:lineRule="auto"/>
              <w:rPr>
                <w:rFonts w:ascii="Verdana" w:eastAsia="Calibri" w:hAnsi="Verdana"/>
                <w:sz w:val="20"/>
                <w:szCs w:val="20"/>
              </w:rPr>
            </w:pPr>
            <w:r w:rsidRPr="00E74965">
              <w:rPr>
                <w:rFonts w:ascii="Verdana" w:eastAsia="Calibri" w:hAnsi="Verdana"/>
                <w:sz w:val="20"/>
                <w:szCs w:val="20"/>
              </w:rPr>
              <w:t>(13)</w:t>
            </w:r>
          </w:p>
        </w:tc>
        <w:tc>
          <w:tcPr>
            <w:tcW w:w="7358" w:type="dxa"/>
            <w:gridSpan w:val="2"/>
            <w:shd w:val="clear" w:color="auto" w:fill="auto"/>
          </w:tcPr>
          <w:p w14:paraId="4C9862A7" w14:textId="77777777" w:rsidR="00E74965" w:rsidRPr="00E74965" w:rsidRDefault="00E74965" w:rsidP="002A1559">
            <w:pPr>
              <w:spacing w:after="200" w:line="276" w:lineRule="auto"/>
              <w:rPr>
                <w:rFonts w:ascii="Verdana" w:eastAsia="Calibri" w:hAnsi="Verdana"/>
                <w:i/>
                <w:sz w:val="20"/>
                <w:szCs w:val="20"/>
              </w:rPr>
            </w:pPr>
            <w:r w:rsidRPr="00E74965">
              <w:rPr>
                <w:rFonts w:ascii="Verdana" w:eastAsia="Calibri" w:hAnsi="Verdana"/>
                <w:i/>
                <w:sz w:val="20"/>
                <w:szCs w:val="20"/>
              </w:rPr>
              <w:t>the latest net asset value of the AIF or the latest market price of the unit or share of the AIF, in line with FUND 3.9 (Valuation);</w:t>
            </w:r>
          </w:p>
        </w:tc>
        <w:tc>
          <w:tcPr>
            <w:tcW w:w="2832" w:type="dxa"/>
            <w:shd w:val="clear" w:color="auto" w:fill="auto"/>
          </w:tcPr>
          <w:p w14:paraId="0D0D7424"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c>
          <w:tcPr>
            <w:tcW w:w="1733" w:type="dxa"/>
            <w:shd w:val="clear" w:color="auto" w:fill="auto"/>
          </w:tcPr>
          <w:p w14:paraId="582D49E4"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r>
      <w:tr w:rsidR="00E74965" w:rsidRPr="00E74965" w14:paraId="413C335E" w14:textId="77777777" w:rsidTr="002A1559">
        <w:tc>
          <w:tcPr>
            <w:tcW w:w="1117" w:type="dxa"/>
            <w:shd w:val="clear" w:color="auto" w:fill="auto"/>
          </w:tcPr>
          <w:p w14:paraId="17F58EE8" w14:textId="77777777" w:rsidR="00E74965" w:rsidRPr="00E74965" w:rsidRDefault="00E74965" w:rsidP="002A1559">
            <w:pPr>
              <w:spacing w:after="200" w:line="276" w:lineRule="auto"/>
              <w:rPr>
                <w:rFonts w:ascii="Verdana" w:eastAsia="Calibri" w:hAnsi="Verdana"/>
                <w:b/>
                <w:bCs/>
                <w:sz w:val="20"/>
                <w:szCs w:val="20"/>
              </w:rPr>
            </w:pPr>
            <w:r w:rsidRPr="00E74965">
              <w:rPr>
                <w:rFonts w:ascii="Verdana" w:eastAsia="Calibri" w:hAnsi="Verdana"/>
                <w:b/>
                <w:bCs/>
                <w:sz w:val="20"/>
                <w:szCs w:val="20"/>
              </w:rPr>
              <w:t>(1n)</w:t>
            </w:r>
          </w:p>
        </w:tc>
        <w:tc>
          <w:tcPr>
            <w:tcW w:w="1134" w:type="dxa"/>
            <w:shd w:val="clear" w:color="auto" w:fill="auto"/>
          </w:tcPr>
          <w:p w14:paraId="42781E77" w14:textId="77777777" w:rsidR="00E74965" w:rsidRPr="00E74965" w:rsidRDefault="00E74965" w:rsidP="002A1559">
            <w:pPr>
              <w:spacing w:after="200" w:line="276" w:lineRule="auto"/>
              <w:rPr>
                <w:rFonts w:ascii="Verdana" w:eastAsia="Calibri" w:hAnsi="Verdana"/>
                <w:sz w:val="20"/>
                <w:szCs w:val="20"/>
              </w:rPr>
            </w:pPr>
            <w:r w:rsidRPr="00E74965">
              <w:rPr>
                <w:rFonts w:ascii="Verdana" w:eastAsia="Calibri" w:hAnsi="Verdana"/>
                <w:sz w:val="20"/>
                <w:szCs w:val="20"/>
              </w:rPr>
              <w:t>(15)</w:t>
            </w:r>
          </w:p>
        </w:tc>
        <w:tc>
          <w:tcPr>
            <w:tcW w:w="7358" w:type="dxa"/>
            <w:gridSpan w:val="2"/>
            <w:shd w:val="clear" w:color="auto" w:fill="auto"/>
          </w:tcPr>
          <w:p w14:paraId="1535A050" w14:textId="77777777" w:rsidR="00E74965" w:rsidRPr="00E74965" w:rsidRDefault="00E74965" w:rsidP="002A1559">
            <w:pPr>
              <w:spacing w:after="200" w:line="276" w:lineRule="auto"/>
              <w:rPr>
                <w:rFonts w:ascii="Verdana" w:eastAsia="Calibri" w:hAnsi="Verdana"/>
                <w:i/>
                <w:sz w:val="20"/>
                <w:szCs w:val="20"/>
              </w:rPr>
            </w:pPr>
            <w:r w:rsidRPr="00E74965">
              <w:rPr>
                <w:rFonts w:ascii="Verdana" w:eastAsia="Calibri" w:hAnsi="Verdana"/>
                <w:i/>
                <w:sz w:val="20"/>
                <w:szCs w:val="20"/>
              </w:rPr>
              <w:t>where available, the historical performance of the AIF;</w:t>
            </w:r>
          </w:p>
        </w:tc>
        <w:tc>
          <w:tcPr>
            <w:tcW w:w="2832" w:type="dxa"/>
            <w:shd w:val="clear" w:color="auto" w:fill="auto"/>
          </w:tcPr>
          <w:p w14:paraId="4553D1D0"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c>
          <w:tcPr>
            <w:tcW w:w="1733" w:type="dxa"/>
            <w:shd w:val="clear" w:color="auto" w:fill="auto"/>
          </w:tcPr>
          <w:p w14:paraId="3BA4ED9B"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r>
      <w:tr w:rsidR="00E74965" w:rsidRPr="00E74965" w14:paraId="13DA9DC8" w14:textId="77777777" w:rsidTr="00D766A6">
        <w:tc>
          <w:tcPr>
            <w:tcW w:w="1117" w:type="dxa"/>
            <w:shd w:val="clear" w:color="auto" w:fill="auto"/>
          </w:tcPr>
          <w:p w14:paraId="3D8B71BE" w14:textId="77777777" w:rsidR="00E74965" w:rsidRPr="00E74965" w:rsidRDefault="00E74965" w:rsidP="002A1559">
            <w:pPr>
              <w:spacing w:after="200" w:line="276" w:lineRule="auto"/>
              <w:rPr>
                <w:rFonts w:ascii="Verdana" w:eastAsia="Calibri" w:hAnsi="Verdana"/>
                <w:b/>
                <w:bCs/>
                <w:sz w:val="20"/>
                <w:szCs w:val="20"/>
              </w:rPr>
            </w:pPr>
            <w:r w:rsidRPr="00E74965">
              <w:rPr>
                <w:rFonts w:ascii="Verdana" w:eastAsia="Calibri" w:hAnsi="Verdana"/>
                <w:b/>
                <w:bCs/>
                <w:sz w:val="20"/>
                <w:szCs w:val="20"/>
              </w:rPr>
              <w:t>(1o)</w:t>
            </w:r>
          </w:p>
        </w:tc>
        <w:tc>
          <w:tcPr>
            <w:tcW w:w="1134" w:type="dxa"/>
            <w:shd w:val="clear" w:color="auto" w:fill="auto"/>
          </w:tcPr>
          <w:p w14:paraId="299762A3" w14:textId="77777777" w:rsidR="00E74965" w:rsidRPr="00E74965" w:rsidRDefault="00E74965" w:rsidP="002A1559">
            <w:pPr>
              <w:spacing w:after="200" w:line="276" w:lineRule="auto"/>
              <w:rPr>
                <w:rFonts w:ascii="Verdana" w:eastAsia="Calibri" w:hAnsi="Verdana"/>
                <w:sz w:val="20"/>
                <w:szCs w:val="20"/>
              </w:rPr>
            </w:pPr>
            <w:r w:rsidRPr="00E74965">
              <w:rPr>
                <w:rFonts w:ascii="Verdana" w:eastAsia="Calibri" w:hAnsi="Verdana"/>
                <w:sz w:val="20"/>
                <w:szCs w:val="20"/>
              </w:rPr>
              <w:t>(16a)</w:t>
            </w:r>
          </w:p>
        </w:tc>
        <w:tc>
          <w:tcPr>
            <w:tcW w:w="7358" w:type="dxa"/>
            <w:gridSpan w:val="2"/>
            <w:shd w:val="clear" w:color="auto" w:fill="auto"/>
          </w:tcPr>
          <w:p w14:paraId="2FAFCE2C" w14:textId="77777777" w:rsidR="00E74965" w:rsidRPr="00E74965" w:rsidRDefault="00E74965" w:rsidP="002A1559">
            <w:pPr>
              <w:spacing w:after="200" w:line="276" w:lineRule="auto"/>
              <w:rPr>
                <w:rFonts w:ascii="Verdana" w:eastAsia="Calibri" w:hAnsi="Verdana"/>
                <w:i/>
                <w:sz w:val="20"/>
                <w:szCs w:val="20"/>
              </w:rPr>
            </w:pPr>
            <w:r w:rsidRPr="00E74965">
              <w:rPr>
                <w:rFonts w:ascii="Verdana" w:eastAsia="Calibri" w:hAnsi="Verdana"/>
                <w:i/>
                <w:sz w:val="20"/>
                <w:szCs w:val="20"/>
              </w:rPr>
              <w:t>the identity of the prime brokerage firm;</w:t>
            </w:r>
          </w:p>
        </w:tc>
        <w:tc>
          <w:tcPr>
            <w:tcW w:w="2832" w:type="dxa"/>
            <w:shd w:val="clear" w:color="auto" w:fill="auto"/>
          </w:tcPr>
          <w:p w14:paraId="0685485A"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c>
          <w:tcPr>
            <w:tcW w:w="1733" w:type="dxa"/>
            <w:shd w:val="clear" w:color="auto" w:fill="auto"/>
          </w:tcPr>
          <w:p w14:paraId="42355A6B"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r>
      <w:tr w:rsidR="00E74965" w:rsidRPr="00E74965" w14:paraId="1AA2AA9A" w14:textId="77777777" w:rsidTr="002A1559">
        <w:tc>
          <w:tcPr>
            <w:tcW w:w="1117" w:type="dxa"/>
            <w:shd w:val="clear" w:color="auto" w:fill="auto"/>
          </w:tcPr>
          <w:p w14:paraId="44E3AC24" w14:textId="77777777" w:rsidR="00E74965" w:rsidRPr="00E74965" w:rsidRDefault="00E74965" w:rsidP="002A1559">
            <w:pPr>
              <w:spacing w:after="200" w:line="276" w:lineRule="auto"/>
              <w:rPr>
                <w:rFonts w:ascii="Verdana" w:eastAsia="Calibri" w:hAnsi="Verdana"/>
                <w:b/>
                <w:bCs/>
                <w:sz w:val="20"/>
                <w:szCs w:val="20"/>
              </w:rPr>
            </w:pPr>
            <w:r w:rsidRPr="00E74965">
              <w:rPr>
                <w:rFonts w:ascii="Verdana" w:eastAsia="Calibri" w:hAnsi="Verdana"/>
                <w:b/>
                <w:bCs/>
                <w:sz w:val="20"/>
                <w:szCs w:val="20"/>
              </w:rPr>
              <w:t>(1o)</w:t>
            </w:r>
          </w:p>
        </w:tc>
        <w:tc>
          <w:tcPr>
            <w:tcW w:w="1134" w:type="dxa"/>
            <w:shd w:val="clear" w:color="auto" w:fill="auto"/>
          </w:tcPr>
          <w:p w14:paraId="6D4FBA8A" w14:textId="77777777" w:rsidR="00E74965" w:rsidRPr="00E74965" w:rsidRDefault="00E74965" w:rsidP="002A1559">
            <w:pPr>
              <w:spacing w:after="200" w:line="276" w:lineRule="auto"/>
              <w:rPr>
                <w:rFonts w:ascii="Verdana" w:eastAsia="Calibri" w:hAnsi="Verdana"/>
                <w:sz w:val="20"/>
                <w:szCs w:val="20"/>
              </w:rPr>
            </w:pPr>
            <w:r w:rsidRPr="00E74965">
              <w:rPr>
                <w:rFonts w:ascii="Verdana" w:eastAsia="Calibri" w:hAnsi="Verdana"/>
                <w:sz w:val="20"/>
                <w:szCs w:val="20"/>
              </w:rPr>
              <w:t>(16b)</w:t>
            </w:r>
          </w:p>
        </w:tc>
        <w:tc>
          <w:tcPr>
            <w:tcW w:w="7358" w:type="dxa"/>
            <w:gridSpan w:val="2"/>
            <w:shd w:val="clear" w:color="auto" w:fill="auto"/>
          </w:tcPr>
          <w:p w14:paraId="26B43BB1" w14:textId="77777777" w:rsidR="00E74965" w:rsidRPr="00E74965" w:rsidRDefault="00E74965" w:rsidP="002A1559">
            <w:pPr>
              <w:spacing w:after="200" w:line="276" w:lineRule="auto"/>
              <w:rPr>
                <w:rFonts w:ascii="Verdana" w:eastAsia="Calibri" w:hAnsi="Verdana"/>
                <w:i/>
                <w:sz w:val="20"/>
                <w:szCs w:val="20"/>
              </w:rPr>
            </w:pPr>
            <w:r w:rsidRPr="00E74965">
              <w:rPr>
                <w:rFonts w:ascii="Verdana" w:eastAsia="Calibri" w:hAnsi="Verdana"/>
                <w:i/>
                <w:sz w:val="20"/>
                <w:szCs w:val="20"/>
              </w:rPr>
              <w:t>a description of any material arrangements of the AIF with its prime brokerage firm and the way any conflicts of interest are managed;</w:t>
            </w:r>
          </w:p>
        </w:tc>
        <w:tc>
          <w:tcPr>
            <w:tcW w:w="2832" w:type="dxa"/>
            <w:shd w:val="clear" w:color="auto" w:fill="auto"/>
          </w:tcPr>
          <w:p w14:paraId="6B62BD01"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c>
          <w:tcPr>
            <w:tcW w:w="1733" w:type="dxa"/>
            <w:shd w:val="clear" w:color="auto" w:fill="auto"/>
          </w:tcPr>
          <w:p w14:paraId="45F9C90C"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r>
      <w:tr w:rsidR="00E74965" w:rsidRPr="00E74965" w14:paraId="30F47F32" w14:textId="77777777" w:rsidTr="00D766A6">
        <w:tc>
          <w:tcPr>
            <w:tcW w:w="1117" w:type="dxa"/>
            <w:shd w:val="clear" w:color="auto" w:fill="auto"/>
          </w:tcPr>
          <w:p w14:paraId="6D77963B" w14:textId="77777777" w:rsidR="00E74965" w:rsidRPr="00E74965" w:rsidRDefault="00E74965" w:rsidP="002A1559">
            <w:pPr>
              <w:spacing w:after="200" w:line="276" w:lineRule="auto"/>
              <w:rPr>
                <w:rFonts w:ascii="Verdana" w:eastAsia="Calibri" w:hAnsi="Verdana"/>
                <w:b/>
                <w:bCs/>
                <w:sz w:val="20"/>
                <w:szCs w:val="20"/>
              </w:rPr>
            </w:pPr>
            <w:r w:rsidRPr="00E74965">
              <w:rPr>
                <w:rFonts w:ascii="Verdana" w:eastAsia="Calibri" w:hAnsi="Verdana"/>
                <w:b/>
                <w:bCs/>
                <w:sz w:val="20"/>
                <w:szCs w:val="20"/>
              </w:rPr>
              <w:t>(1o)</w:t>
            </w:r>
          </w:p>
        </w:tc>
        <w:tc>
          <w:tcPr>
            <w:tcW w:w="1134" w:type="dxa"/>
            <w:shd w:val="clear" w:color="auto" w:fill="auto"/>
          </w:tcPr>
          <w:p w14:paraId="1FCB4FCB" w14:textId="77777777" w:rsidR="00E74965" w:rsidRPr="00E74965" w:rsidRDefault="00E74965" w:rsidP="002A1559">
            <w:pPr>
              <w:spacing w:after="200" w:line="276" w:lineRule="auto"/>
              <w:rPr>
                <w:rFonts w:ascii="Verdana" w:eastAsia="Calibri" w:hAnsi="Verdana"/>
                <w:sz w:val="20"/>
                <w:szCs w:val="20"/>
              </w:rPr>
            </w:pPr>
            <w:r w:rsidRPr="00E74965">
              <w:rPr>
                <w:rFonts w:ascii="Verdana" w:eastAsia="Calibri" w:hAnsi="Verdana"/>
                <w:sz w:val="20"/>
                <w:szCs w:val="20"/>
              </w:rPr>
              <w:t>(16c)</w:t>
            </w:r>
          </w:p>
        </w:tc>
        <w:tc>
          <w:tcPr>
            <w:tcW w:w="7358" w:type="dxa"/>
            <w:gridSpan w:val="2"/>
            <w:shd w:val="clear" w:color="auto" w:fill="auto"/>
          </w:tcPr>
          <w:p w14:paraId="55C0EA0C" w14:textId="77777777" w:rsidR="00E74965" w:rsidRPr="00E74965" w:rsidRDefault="00E74965" w:rsidP="002A1559">
            <w:pPr>
              <w:spacing w:after="200" w:line="276" w:lineRule="auto"/>
              <w:rPr>
                <w:rFonts w:ascii="Verdana" w:eastAsia="Calibri" w:hAnsi="Verdana"/>
                <w:i/>
                <w:sz w:val="20"/>
                <w:szCs w:val="20"/>
              </w:rPr>
            </w:pPr>
            <w:r w:rsidRPr="00E74965">
              <w:rPr>
                <w:rFonts w:ascii="Verdana" w:eastAsia="Calibri" w:hAnsi="Verdana"/>
                <w:i/>
                <w:sz w:val="20"/>
                <w:szCs w:val="20"/>
              </w:rPr>
              <w:t>the provision in the contract with the depositary on the possibility of transfer and reuse of AIF assets; and</w:t>
            </w:r>
          </w:p>
        </w:tc>
        <w:tc>
          <w:tcPr>
            <w:tcW w:w="2832" w:type="dxa"/>
            <w:shd w:val="clear" w:color="auto" w:fill="auto"/>
          </w:tcPr>
          <w:p w14:paraId="64DFBD40"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c>
          <w:tcPr>
            <w:tcW w:w="1733" w:type="dxa"/>
            <w:shd w:val="clear" w:color="auto" w:fill="auto"/>
          </w:tcPr>
          <w:p w14:paraId="766C39DB"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r>
      <w:tr w:rsidR="00E74965" w:rsidRPr="00E74965" w14:paraId="0A1E5781" w14:textId="77777777" w:rsidTr="002A1559">
        <w:tc>
          <w:tcPr>
            <w:tcW w:w="1117" w:type="dxa"/>
            <w:shd w:val="clear" w:color="auto" w:fill="auto"/>
          </w:tcPr>
          <w:p w14:paraId="2EC065BA" w14:textId="77777777" w:rsidR="00E74965" w:rsidRPr="00E74965" w:rsidRDefault="00E74965" w:rsidP="002A1559">
            <w:pPr>
              <w:spacing w:after="200" w:line="276" w:lineRule="auto"/>
              <w:rPr>
                <w:rFonts w:ascii="Verdana" w:eastAsia="Calibri" w:hAnsi="Verdana"/>
                <w:b/>
                <w:bCs/>
                <w:sz w:val="20"/>
                <w:szCs w:val="20"/>
              </w:rPr>
            </w:pPr>
            <w:r w:rsidRPr="00E74965">
              <w:rPr>
                <w:rFonts w:ascii="Verdana" w:eastAsia="Calibri" w:hAnsi="Verdana"/>
                <w:b/>
                <w:bCs/>
                <w:sz w:val="20"/>
                <w:szCs w:val="20"/>
              </w:rPr>
              <w:t>(1o)</w:t>
            </w:r>
          </w:p>
        </w:tc>
        <w:tc>
          <w:tcPr>
            <w:tcW w:w="1134" w:type="dxa"/>
            <w:shd w:val="clear" w:color="auto" w:fill="auto"/>
          </w:tcPr>
          <w:p w14:paraId="260B4BC4" w14:textId="77777777" w:rsidR="00E74965" w:rsidRPr="00E74965" w:rsidRDefault="00E74965" w:rsidP="002A1559">
            <w:pPr>
              <w:spacing w:after="200" w:line="276" w:lineRule="auto"/>
              <w:rPr>
                <w:rFonts w:ascii="Verdana" w:eastAsia="Calibri" w:hAnsi="Verdana"/>
                <w:sz w:val="20"/>
                <w:szCs w:val="20"/>
              </w:rPr>
            </w:pPr>
            <w:r w:rsidRPr="00E74965">
              <w:rPr>
                <w:rFonts w:ascii="Verdana" w:eastAsia="Calibri" w:hAnsi="Verdana"/>
                <w:sz w:val="20"/>
                <w:szCs w:val="20"/>
              </w:rPr>
              <w:t>(16d)</w:t>
            </w:r>
          </w:p>
        </w:tc>
        <w:tc>
          <w:tcPr>
            <w:tcW w:w="7358" w:type="dxa"/>
            <w:gridSpan w:val="2"/>
            <w:shd w:val="clear" w:color="auto" w:fill="auto"/>
          </w:tcPr>
          <w:p w14:paraId="1A6664B7" w14:textId="77777777" w:rsidR="00E74965" w:rsidRPr="00E74965" w:rsidRDefault="00E74965" w:rsidP="002A1559">
            <w:pPr>
              <w:spacing w:after="200" w:line="276" w:lineRule="auto"/>
              <w:rPr>
                <w:rFonts w:ascii="Verdana" w:eastAsia="Calibri" w:hAnsi="Verdana"/>
                <w:i/>
                <w:sz w:val="20"/>
                <w:szCs w:val="20"/>
              </w:rPr>
            </w:pPr>
            <w:r w:rsidRPr="00E74965">
              <w:rPr>
                <w:rFonts w:ascii="Verdana" w:eastAsia="Calibri" w:hAnsi="Verdana"/>
                <w:i/>
                <w:sz w:val="20"/>
                <w:szCs w:val="20"/>
              </w:rPr>
              <w:t>information about any transfer of liability to the prime brokerage firm that may exist; and</w:t>
            </w:r>
          </w:p>
        </w:tc>
        <w:tc>
          <w:tcPr>
            <w:tcW w:w="2832" w:type="dxa"/>
            <w:shd w:val="clear" w:color="auto" w:fill="auto"/>
          </w:tcPr>
          <w:p w14:paraId="65327108"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c>
          <w:tcPr>
            <w:tcW w:w="1733" w:type="dxa"/>
            <w:shd w:val="clear" w:color="auto" w:fill="auto"/>
          </w:tcPr>
          <w:p w14:paraId="5B2734B8"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r>
      <w:tr w:rsidR="00E74965" w:rsidRPr="00E74965" w14:paraId="57E8D148" w14:textId="77777777" w:rsidTr="00D766A6">
        <w:tc>
          <w:tcPr>
            <w:tcW w:w="1117" w:type="dxa"/>
            <w:shd w:val="clear" w:color="auto" w:fill="auto"/>
          </w:tcPr>
          <w:p w14:paraId="490FAF7A" w14:textId="77777777" w:rsidR="00E74965" w:rsidRPr="00E74965" w:rsidRDefault="00E74965" w:rsidP="002A1559">
            <w:pPr>
              <w:spacing w:after="200" w:line="276" w:lineRule="auto"/>
              <w:rPr>
                <w:rFonts w:ascii="Verdana" w:eastAsia="Calibri" w:hAnsi="Verdana"/>
                <w:b/>
                <w:bCs/>
                <w:sz w:val="20"/>
                <w:szCs w:val="20"/>
              </w:rPr>
            </w:pPr>
            <w:r w:rsidRPr="00E74965">
              <w:rPr>
                <w:rFonts w:ascii="Verdana" w:eastAsia="Calibri" w:hAnsi="Verdana"/>
                <w:b/>
                <w:bCs/>
                <w:sz w:val="20"/>
                <w:szCs w:val="20"/>
              </w:rPr>
              <w:t>(1p)</w:t>
            </w:r>
          </w:p>
        </w:tc>
        <w:tc>
          <w:tcPr>
            <w:tcW w:w="1134" w:type="dxa"/>
            <w:shd w:val="clear" w:color="auto" w:fill="auto"/>
          </w:tcPr>
          <w:p w14:paraId="79CBBD53" w14:textId="77777777" w:rsidR="00E74965" w:rsidRPr="00E74965" w:rsidRDefault="00E74965" w:rsidP="002A1559">
            <w:pPr>
              <w:spacing w:after="200" w:line="276" w:lineRule="auto"/>
              <w:rPr>
                <w:rFonts w:ascii="Verdana" w:eastAsia="Calibri" w:hAnsi="Verdana"/>
                <w:sz w:val="20"/>
                <w:szCs w:val="20"/>
              </w:rPr>
            </w:pPr>
            <w:r w:rsidRPr="00E74965">
              <w:rPr>
                <w:rFonts w:ascii="Verdana" w:eastAsia="Calibri" w:hAnsi="Verdana"/>
                <w:sz w:val="20"/>
                <w:szCs w:val="20"/>
              </w:rPr>
              <w:t>(17)</w:t>
            </w:r>
          </w:p>
        </w:tc>
        <w:tc>
          <w:tcPr>
            <w:tcW w:w="7358" w:type="dxa"/>
            <w:gridSpan w:val="2"/>
            <w:shd w:val="clear" w:color="auto" w:fill="auto"/>
          </w:tcPr>
          <w:p w14:paraId="182B0979" w14:textId="77777777" w:rsidR="00E74965" w:rsidRPr="00E74965" w:rsidRDefault="00E74965" w:rsidP="003351C0">
            <w:pPr>
              <w:spacing w:after="200" w:line="276" w:lineRule="auto"/>
              <w:rPr>
                <w:rFonts w:ascii="Verdana" w:eastAsia="Calibri" w:hAnsi="Verdana"/>
                <w:i/>
                <w:sz w:val="20"/>
                <w:szCs w:val="20"/>
              </w:rPr>
            </w:pPr>
            <w:r w:rsidRPr="00E74965">
              <w:rPr>
                <w:rFonts w:ascii="Verdana" w:eastAsia="Calibri" w:hAnsi="Verdana"/>
                <w:i/>
                <w:sz w:val="20"/>
                <w:szCs w:val="20"/>
              </w:rPr>
              <w:t>a description of how and when the information required under FUND 3.2.5R and FUND 3.2.6R will be disclosed.</w:t>
            </w:r>
          </w:p>
        </w:tc>
        <w:tc>
          <w:tcPr>
            <w:tcW w:w="2832" w:type="dxa"/>
            <w:shd w:val="clear" w:color="auto" w:fill="auto"/>
          </w:tcPr>
          <w:p w14:paraId="46172539"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c>
          <w:tcPr>
            <w:tcW w:w="1733" w:type="dxa"/>
            <w:shd w:val="clear" w:color="auto" w:fill="auto"/>
          </w:tcPr>
          <w:p w14:paraId="00FBD361" w14:textId="77777777" w:rsidR="00E74965" w:rsidRPr="00E74965" w:rsidRDefault="00E74965" w:rsidP="002A1559">
            <w:pPr>
              <w:spacing w:after="200" w:line="276" w:lineRule="auto"/>
              <w:rPr>
                <w:rFonts w:ascii="Verdana" w:eastAsia="Calibri" w:hAnsi="Verdana"/>
                <w:sz w:val="20"/>
                <w:szCs w:val="20"/>
              </w:rPr>
            </w:pPr>
            <w:r w:rsidRPr="00E74965">
              <w:rPr>
                <w:rFonts w:ascii="Verdana" w:hAnsi="Verdana"/>
                <w:sz w:val="20"/>
                <w:szCs w:val="20"/>
              </w:rPr>
              <w:fldChar w:fldCharType="begin">
                <w:ffData>
                  <w:name w:val="Text7"/>
                  <w:enabled/>
                  <w:calcOnExit w:val="0"/>
                  <w:textInput/>
                </w:ffData>
              </w:fldChar>
            </w:r>
            <w:r w:rsidRPr="00E74965">
              <w:rPr>
                <w:rFonts w:ascii="Verdana" w:hAnsi="Verdana"/>
                <w:sz w:val="20"/>
                <w:szCs w:val="20"/>
              </w:rPr>
              <w:instrText xml:space="preserve"> FORMTEXT </w:instrText>
            </w:r>
            <w:r w:rsidRPr="00E74965">
              <w:rPr>
                <w:rFonts w:ascii="Verdana" w:hAnsi="Verdana"/>
                <w:sz w:val="20"/>
                <w:szCs w:val="20"/>
              </w:rPr>
            </w:r>
            <w:r w:rsidRPr="00E74965">
              <w:rPr>
                <w:rFonts w:ascii="Verdana" w:hAnsi="Verdana"/>
                <w:sz w:val="20"/>
                <w:szCs w:val="20"/>
              </w:rPr>
              <w:fldChar w:fldCharType="separate"/>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noProof/>
                <w:sz w:val="20"/>
                <w:szCs w:val="20"/>
              </w:rPr>
              <w:t> </w:t>
            </w:r>
            <w:r w:rsidRPr="00E74965">
              <w:rPr>
                <w:rFonts w:ascii="Verdana" w:hAnsi="Verdana"/>
                <w:sz w:val="20"/>
                <w:szCs w:val="20"/>
              </w:rPr>
              <w:fldChar w:fldCharType="end"/>
            </w:r>
          </w:p>
        </w:tc>
      </w:tr>
    </w:tbl>
    <w:p w14:paraId="19B194F8" w14:textId="77777777" w:rsidR="00E74965" w:rsidRDefault="00E74965" w:rsidP="000C069D">
      <w:pPr>
        <w:pStyle w:val="QsyesnoCharChar"/>
        <w:rPr>
          <w:rFonts w:ascii="Verdana" w:hAnsi="Verdana"/>
          <w:b/>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856"/>
      </w:tblGrid>
      <w:tr w:rsidR="00E74965" w:rsidRPr="00E74965" w14:paraId="1CFB2C9A" w14:textId="77777777" w:rsidTr="002A1559">
        <w:trPr>
          <w:trHeight w:val="397"/>
        </w:trPr>
        <w:tc>
          <w:tcPr>
            <w:tcW w:w="1418" w:type="dxa"/>
            <w:tcBorders>
              <w:top w:val="single" w:sz="4" w:space="0" w:color="auto"/>
              <w:left w:val="single" w:sz="4" w:space="0" w:color="auto"/>
              <w:bottom w:val="single" w:sz="4" w:space="0" w:color="auto"/>
              <w:right w:val="single" w:sz="12" w:space="0" w:color="C0C0C0"/>
            </w:tcBorders>
            <w:vAlign w:val="center"/>
          </w:tcPr>
          <w:p w14:paraId="4CACBCEB" w14:textId="77777777" w:rsidR="00E74965" w:rsidRPr="00E74965" w:rsidRDefault="00E74965" w:rsidP="002A1559">
            <w:pPr>
              <w:pStyle w:val="QspromptChar"/>
              <w:keepNext/>
              <w:rPr>
                <w:rFonts w:ascii="Verdana" w:hAnsi="Verdana"/>
              </w:rPr>
            </w:pPr>
            <w:r w:rsidRPr="00E74965">
              <w:rPr>
                <w:rFonts w:ascii="Verdana" w:hAnsi="Verdana"/>
              </w:rPr>
              <w:lastRenderedPageBreak/>
              <w:t>Name</w:t>
            </w:r>
          </w:p>
        </w:tc>
        <w:tc>
          <w:tcPr>
            <w:tcW w:w="3856" w:type="dxa"/>
            <w:tcBorders>
              <w:left w:val="nil"/>
              <w:bottom w:val="single" w:sz="4" w:space="0" w:color="auto"/>
            </w:tcBorders>
            <w:vAlign w:val="center"/>
          </w:tcPr>
          <w:p w14:paraId="19D86082" w14:textId="77777777" w:rsidR="00E74965" w:rsidRPr="00E74965" w:rsidRDefault="00E74965" w:rsidP="002A1559">
            <w:pPr>
              <w:pStyle w:val="Question"/>
              <w:keepNext/>
              <w:tabs>
                <w:tab w:val="clear" w:pos="284"/>
                <w:tab w:val="left" w:pos="1418"/>
                <w:tab w:val="left" w:pos="2552"/>
              </w:tabs>
              <w:spacing w:before="0" w:after="0"/>
              <w:ind w:left="28" w:right="57" w:firstLine="0"/>
              <w:rPr>
                <w:rFonts w:ascii="Verdana" w:hAnsi="Verdana"/>
              </w:rPr>
            </w:pPr>
            <w:r w:rsidRPr="00E74965">
              <w:rPr>
                <w:rFonts w:ascii="Verdana" w:hAnsi="Verdana"/>
              </w:rPr>
              <w:fldChar w:fldCharType="begin">
                <w:ffData>
                  <w:name w:val="Text1"/>
                  <w:enabled/>
                  <w:calcOnExit w:val="0"/>
                  <w:textInput/>
                </w:ffData>
              </w:fldChar>
            </w:r>
            <w:r w:rsidRPr="00E74965">
              <w:rPr>
                <w:rFonts w:ascii="Verdana" w:hAnsi="Verdana"/>
              </w:rPr>
              <w:instrText xml:space="preserve"> FORMTEXT </w:instrText>
            </w:r>
            <w:r w:rsidRPr="00E74965">
              <w:rPr>
                <w:rFonts w:ascii="Verdana" w:hAnsi="Verdana"/>
              </w:rPr>
            </w:r>
            <w:r w:rsidRPr="00E74965">
              <w:rPr>
                <w:rFonts w:ascii="Verdana" w:hAnsi="Verdana"/>
              </w:rPr>
              <w:fldChar w:fldCharType="separate"/>
            </w:r>
            <w:r w:rsidRPr="00E74965">
              <w:rPr>
                <w:rFonts w:ascii="Verdana" w:hAnsi="Verdana"/>
                <w:noProof/>
              </w:rPr>
              <w:t> </w:t>
            </w:r>
            <w:r w:rsidRPr="00E74965">
              <w:rPr>
                <w:rFonts w:ascii="Verdana" w:hAnsi="Verdana"/>
                <w:noProof/>
              </w:rPr>
              <w:t> </w:t>
            </w:r>
            <w:r w:rsidRPr="00E74965">
              <w:rPr>
                <w:rFonts w:ascii="Verdana" w:hAnsi="Verdana"/>
                <w:noProof/>
              </w:rPr>
              <w:t> </w:t>
            </w:r>
            <w:r w:rsidRPr="00E74965">
              <w:rPr>
                <w:rFonts w:ascii="Verdana" w:hAnsi="Verdana"/>
                <w:noProof/>
              </w:rPr>
              <w:t> </w:t>
            </w:r>
            <w:r w:rsidRPr="00E74965">
              <w:rPr>
                <w:rFonts w:ascii="Verdana" w:hAnsi="Verdana"/>
                <w:noProof/>
              </w:rPr>
              <w:t> </w:t>
            </w:r>
            <w:r w:rsidRPr="00E74965">
              <w:rPr>
                <w:rFonts w:ascii="Verdana" w:hAnsi="Verdana"/>
              </w:rPr>
              <w:fldChar w:fldCharType="end"/>
            </w:r>
          </w:p>
        </w:tc>
      </w:tr>
    </w:tbl>
    <w:p w14:paraId="6AEACD76" w14:textId="77777777" w:rsidR="00E74965" w:rsidRPr="00E74965" w:rsidRDefault="00E74965" w:rsidP="00231EBD">
      <w:pPr>
        <w:pStyle w:val="Qstablespacer"/>
        <w:keepNext/>
        <w:ind w:left="2127"/>
        <w:rPr>
          <w:rFonts w:ascii="Verdana" w:hAnsi="Verdan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856"/>
      </w:tblGrid>
      <w:tr w:rsidR="00E74965" w:rsidRPr="00E74965" w14:paraId="316567E2" w14:textId="77777777" w:rsidTr="002A1559">
        <w:trPr>
          <w:trHeight w:val="471"/>
        </w:trPr>
        <w:tc>
          <w:tcPr>
            <w:tcW w:w="1418" w:type="dxa"/>
            <w:tcBorders>
              <w:top w:val="single" w:sz="4" w:space="0" w:color="auto"/>
              <w:left w:val="single" w:sz="4" w:space="0" w:color="auto"/>
              <w:bottom w:val="single" w:sz="4" w:space="0" w:color="auto"/>
              <w:right w:val="single" w:sz="12" w:space="0" w:color="C0C0C0"/>
            </w:tcBorders>
            <w:vAlign w:val="center"/>
          </w:tcPr>
          <w:p w14:paraId="4CD90693" w14:textId="77777777" w:rsidR="00E74965" w:rsidRPr="00E74965" w:rsidRDefault="00E74965" w:rsidP="002A1559">
            <w:pPr>
              <w:pStyle w:val="QspromptChar"/>
              <w:keepNext/>
              <w:rPr>
                <w:rFonts w:ascii="Verdana" w:hAnsi="Verdana"/>
              </w:rPr>
            </w:pPr>
            <w:r w:rsidRPr="00E74965">
              <w:rPr>
                <w:rFonts w:ascii="Verdana" w:hAnsi="Verdana"/>
              </w:rPr>
              <w:t>Title</w:t>
            </w:r>
          </w:p>
        </w:tc>
        <w:tc>
          <w:tcPr>
            <w:tcW w:w="3856" w:type="dxa"/>
            <w:tcBorders>
              <w:left w:val="nil"/>
              <w:bottom w:val="single" w:sz="4" w:space="0" w:color="auto"/>
            </w:tcBorders>
            <w:vAlign w:val="center"/>
          </w:tcPr>
          <w:p w14:paraId="3CDE2605" w14:textId="77777777" w:rsidR="00E74965" w:rsidRPr="00E74965" w:rsidRDefault="00E74965" w:rsidP="002A1559">
            <w:pPr>
              <w:pStyle w:val="Question"/>
              <w:keepNext/>
              <w:tabs>
                <w:tab w:val="clear" w:pos="284"/>
                <w:tab w:val="left" w:pos="1418"/>
                <w:tab w:val="left" w:pos="2552"/>
              </w:tabs>
              <w:spacing w:before="0" w:after="0"/>
              <w:ind w:left="28" w:right="57" w:firstLine="0"/>
              <w:rPr>
                <w:rFonts w:ascii="Verdana" w:hAnsi="Verdana"/>
              </w:rPr>
            </w:pPr>
            <w:r w:rsidRPr="00E74965">
              <w:rPr>
                <w:rFonts w:ascii="Verdana" w:hAnsi="Verdana"/>
              </w:rPr>
              <w:fldChar w:fldCharType="begin">
                <w:ffData>
                  <w:name w:val="Text1"/>
                  <w:enabled/>
                  <w:calcOnExit w:val="0"/>
                  <w:textInput/>
                </w:ffData>
              </w:fldChar>
            </w:r>
            <w:r w:rsidRPr="00E74965">
              <w:rPr>
                <w:rFonts w:ascii="Verdana" w:hAnsi="Verdana"/>
              </w:rPr>
              <w:instrText xml:space="preserve"> FORMTEXT </w:instrText>
            </w:r>
            <w:r w:rsidRPr="00E74965">
              <w:rPr>
                <w:rFonts w:ascii="Verdana" w:hAnsi="Verdana"/>
              </w:rPr>
            </w:r>
            <w:r w:rsidRPr="00E74965">
              <w:rPr>
                <w:rFonts w:ascii="Verdana" w:hAnsi="Verdana"/>
              </w:rPr>
              <w:fldChar w:fldCharType="separate"/>
            </w:r>
            <w:r w:rsidRPr="00E74965">
              <w:rPr>
                <w:rFonts w:ascii="Verdana" w:hAnsi="Verdana"/>
                <w:noProof/>
              </w:rPr>
              <w:t> </w:t>
            </w:r>
            <w:r w:rsidRPr="00E74965">
              <w:rPr>
                <w:rFonts w:ascii="Verdana" w:hAnsi="Verdana"/>
                <w:noProof/>
              </w:rPr>
              <w:t> </w:t>
            </w:r>
            <w:r w:rsidRPr="00E74965">
              <w:rPr>
                <w:rFonts w:ascii="Verdana" w:hAnsi="Verdana"/>
                <w:noProof/>
              </w:rPr>
              <w:t> </w:t>
            </w:r>
            <w:r w:rsidRPr="00E74965">
              <w:rPr>
                <w:rFonts w:ascii="Verdana" w:hAnsi="Verdana"/>
                <w:noProof/>
              </w:rPr>
              <w:t> </w:t>
            </w:r>
            <w:r w:rsidRPr="00E74965">
              <w:rPr>
                <w:rFonts w:ascii="Verdana" w:hAnsi="Verdana"/>
                <w:noProof/>
              </w:rPr>
              <w:t> </w:t>
            </w:r>
            <w:r w:rsidRPr="00E74965">
              <w:rPr>
                <w:rFonts w:ascii="Verdana" w:hAnsi="Verdana"/>
              </w:rPr>
              <w:fldChar w:fldCharType="end"/>
            </w:r>
          </w:p>
        </w:tc>
      </w:tr>
    </w:tbl>
    <w:p w14:paraId="1A4F0951" w14:textId="77777777" w:rsidR="00E74965" w:rsidRPr="00E74965" w:rsidRDefault="00E74965" w:rsidP="00231EBD">
      <w:pPr>
        <w:pStyle w:val="Qstablespacer"/>
        <w:keepNext/>
        <w:ind w:left="2127"/>
        <w:rPr>
          <w:rFonts w:ascii="Verdana" w:hAnsi="Verdan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856"/>
      </w:tblGrid>
      <w:tr w:rsidR="00E74965" w:rsidRPr="00E74965" w14:paraId="5DB50CF6" w14:textId="77777777" w:rsidTr="002A1559">
        <w:trPr>
          <w:trHeight w:val="932"/>
        </w:trPr>
        <w:tc>
          <w:tcPr>
            <w:tcW w:w="1418" w:type="dxa"/>
            <w:tcBorders>
              <w:top w:val="single" w:sz="4" w:space="0" w:color="auto"/>
              <w:left w:val="single" w:sz="4" w:space="0" w:color="auto"/>
              <w:bottom w:val="single" w:sz="4" w:space="0" w:color="auto"/>
              <w:right w:val="single" w:sz="12" w:space="0" w:color="C0C0C0"/>
            </w:tcBorders>
          </w:tcPr>
          <w:p w14:paraId="65253573" w14:textId="77777777" w:rsidR="00E74965" w:rsidRPr="00E74965" w:rsidRDefault="00E74965" w:rsidP="002A1559">
            <w:pPr>
              <w:pStyle w:val="QspromptChar"/>
              <w:keepNext/>
              <w:spacing w:before="40"/>
              <w:rPr>
                <w:rFonts w:ascii="Verdana" w:hAnsi="Verdana"/>
              </w:rPr>
            </w:pPr>
            <w:r w:rsidRPr="00E74965">
              <w:rPr>
                <w:rFonts w:ascii="Verdana" w:hAnsi="Verdana"/>
              </w:rPr>
              <w:t>Signature</w:t>
            </w:r>
          </w:p>
        </w:tc>
        <w:tc>
          <w:tcPr>
            <w:tcW w:w="3856" w:type="dxa"/>
            <w:tcBorders>
              <w:left w:val="nil"/>
              <w:bottom w:val="single" w:sz="4" w:space="0" w:color="auto"/>
            </w:tcBorders>
          </w:tcPr>
          <w:p w14:paraId="5F80727D" w14:textId="77777777" w:rsidR="00E74965" w:rsidRPr="00E74965" w:rsidRDefault="00E74965" w:rsidP="002A1559">
            <w:pPr>
              <w:pStyle w:val="Question"/>
              <w:keepNext/>
              <w:tabs>
                <w:tab w:val="clear" w:pos="284"/>
                <w:tab w:val="left" w:pos="1418"/>
                <w:tab w:val="left" w:pos="2552"/>
              </w:tabs>
              <w:ind w:left="28" w:firstLine="0"/>
              <w:rPr>
                <w:rFonts w:ascii="Verdana" w:hAnsi="Verdana"/>
              </w:rPr>
            </w:pPr>
          </w:p>
        </w:tc>
      </w:tr>
    </w:tbl>
    <w:p w14:paraId="05BF1442" w14:textId="77777777" w:rsidR="00E74965" w:rsidRPr="00E74965" w:rsidRDefault="00E74965" w:rsidP="00231EBD">
      <w:pPr>
        <w:pStyle w:val="Qstablespacer"/>
        <w:keepNext/>
        <w:ind w:left="2127"/>
        <w:rPr>
          <w:rFonts w:ascii="Verdana" w:hAnsi="Verdan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856"/>
      </w:tblGrid>
      <w:tr w:rsidR="00E74965" w:rsidRPr="00E74965" w14:paraId="38C5667A" w14:textId="77777777" w:rsidTr="002A1559">
        <w:trPr>
          <w:trHeight w:val="397"/>
        </w:trPr>
        <w:tc>
          <w:tcPr>
            <w:tcW w:w="1418" w:type="dxa"/>
            <w:tcBorders>
              <w:top w:val="single" w:sz="4" w:space="0" w:color="auto"/>
              <w:left w:val="single" w:sz="4" w:space="0" w:color="auto"/>
              <w:bottom w:val="single" w:sz="4" w:space="0" w:color="auto"/>
              <w:right w:val="single" w:sz="12" w:space="0" w:color="C0C0C0"/>
            </w:tcBorders>
            <w:vAlign w:val="center"/>
          </w:tcPr>
          <w:p w14:paraId="0E78E81E" w14:textId="77777777" w:rsidR="00E74965" w:rsidRPr="00E74965" w:rsidRDefault="00E74965" w:rsidP="003351C0">
            <w:pPr>
              <w:pStyle w:val="QspromptChar"/>
              <w:rPr>
                <w:rFonts w:ascii="Verdana" w:hAnsi="Verdana"/>
              </w:rPr>
            </w:pPr>
            <w:r w:rsidRPr="00E74965">
              <w:rPr>
                <w:rFonts w:ascii="Verdana" w:hAnsi="Verdana"/>
              </w:rPr>
              <w:t>On behalf of: (Firm name)</w:t>
            </w:r>
          </w:p>
        </w:tc>
        <w:tc>
          <w:tcPr>
            <w:tcW w:w="3856" w:type="dxa"/>
            <w:tcBorders>
              <w:left w:val="nil"/>
              <w:bottom w:val="single" w:sz="4" w:space="0" w:color="auto"/>
            </w:tcBorders>
            <w:vAlign w:val="center"/>
          </w:tcPr>
          <w:p w14:paraId="4F6D8CF5" w14:textId="77777777" w:rsidR="00E74965" w:rsidRPr="00E74965" w:rsidRDefault="00E74965" w:rsidP="002A1559">
            <w:pPr>
              <w:pStyle w:val="Question"/>
              <w:tabs>
                <w:tab w:val="clear" w:pos="284"/>
                <w:tab w:val="left" w:pos="1418"/>
                <w:tab w:val="left" w:pos="2552"/>
              </w:tabs>
              <w:spacing w:before="0" w:after="0"/>
              <w:ind w:left="28" w:right="57" w:firstLine="0"/>
              <w:rPr>
                <w:rFonts w:ascii="Verdana" w:hAnsi="Verdana"/>
              </w:rPr>
            </w:pPr>
            <w:r w:rsidRPr="00E74965">
              <w:rPr>
                <w:rFonts w:ascii="Verdana" w:hAnsi="Verdana"/>
              </w:rPr>
              <w:fldChar w:fldCharType="begin">
                <w:ffData>
                  <w:name w:val="Text1"/>
                  <w:enabled/>
                  <w:calcOnExit w:val="0"/>
                  <w:textInput/>
                </w:ffData>
              </w:fldChar>
            </w:r>
            <w:r w:rsidRPr="00E74965">
              <w:rPr>
                <w:rFonts w:ascii="Verdana" w:hAnsi="Verdana"/>
              </w:rPr>
              <w:instrText xml:space="preserve"> FORMTEXT </w:instrText>
            </w:r>
            <w:r w:rsidRPr="00E74965">
              <w:rPr>
                <w:rFonts w:ascii="Verdana" w:hAnsi="Verdana"/>
              </w:rPr>
            </w:r>
            <w:r w:rsidRPr="00E74965">
              <w:rPr>
                <w:rFonts w:ascii="Verdana" w:hAnsi="Verdana"/>
              </w:rPr>
              <w:fldChar w:fldCharType="separate"/>
            </w:r>
            <w:r w:rsidRPr="00E74965">
              <w:rPr>
                <w:rFonts w:ascii="Verdana" w:hAnsi="Verdana"/>
                <w:noProof/>
              </w:rPr>
              <w:t> </w:t>
            </w:r>
            <w:r w:rsidRPr="00E74965">
              <w:rPr>
                <w:rFonts w:ascii="Verdana" w:hAnsi="Verdana"/>
                <w:noProof/>
              </w:rPr>
              <w:t> </w:t>
            </w:r>
            <w:r w:rsidRPr="00E74965">
              <w:rPr>
                <w:rFonts w:ascii="Verdana" w:hAnsi="Verdana"/>
                <w:noProof/>
              </w:rPr>
              <w:t> </w:t>
            </w:r>
            <w:r w:rsidRPr="00E74965">
              <w:rPr>
                <w:rFonts w:ascii="Verdana" w:hAnsi="Verdana"/>
                <w:noProof/>
              </w:rPr>
              <w:t> </w:t>
            </w:r>
            <w:r w:rsidRPr="00E74965">
              <w:rPr>
                <w:rFonts w:ascii="Verdana" w:hAnsi="Verdana"/>
                <w:noProof/>
              </w:rPr>
              <w:t> </w:t>
            </w:r>
            <w:r w:rsidRPr="00E74965">
              <w:rPr>
                <w:rFonts w:ascii="Verdana" w:hAnsi="Verdana"/>
              </w:rPr>
              <w:fldChar w:fldCharType="end"/>
            </w:r>
          </w:p>
        </w:tc>
      </w:tr>
    </w:tbl>
    <w:p w14:paraId="07F91723" w14:textId="77777777" w:rsidR="00E74965" w:rsidRPr="00E74965" w:rsidRDefault="00E74965" w:rsidP="00231EBD">
      <w:pPr>
        <w:pStyle w:val="Qstablespacer"/>
        <w:keepNext/>
        <w:ind w:left="2127"/>
        <w:rPr>
          <w:rFonts w:ascii="Verdana" w:hAnsi="Verdan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856"/>
      </w:tblGrid>
      <w:tr w:rsidR="00E74965" w:rsidRPr="00E74965" w14:paraId="7BE590C0" w14:textId="77777777" w:rsidTr="002A1559">
        <w:trPr>
          <w:trHeight w:val="397"/>
        </w:trPr>
        <w:tc>
          <w:tcPr>
            <w:tcW w:w="1418" w:type="dxa"/>
            <w:tcBorders>
              <w:top w:val="single" w:sz="4" w:space="0" w:color="auto"/>
              <w:left w:val="single" w:sz="4" w:space="0" w:color="auto"/>
              <w:bottom w:val="single" w:sz="4" w:space="0" w:color="auto"/>
              <w:right w:val="single" w:sz="12" w:space="0" w:color="C0C0C0"/>
            </w:tcBorders>
            <w:vAlign w:val="center"/>
          </w:tcPr>
          <w:p w14:paraId="79F951C2" w14:textId="77777777" w:rsidR="00E74965" w:rsidRPr="00E74965" w:rsidRDefault="00E74965" w:rsidP="002A1559">
            <w:pPr>
              <w:pStyle w:val="QspromptChar"/>
              <w:rPr>
                <w:rFonts w:ascii="Verdana" w:hAnsi="Verdana"/>
              </w:rPr>
            </w:pPr>
            <w:r w:rsidRPr="00E74965">
              <w:rPr>
                <w:rFonts w:ascii="Verdana" w:hAnsi="Verdana"/>
              </w:rPr>
              <w:t>Date</w:t>
            </w:r>
          </w:p>
        </w:tc>
        <w:tc>
          <w:tcPr>
            <w:tcW w:w="3856" w:type="dxa"/>
            <w:tcBorders>
              <w:left w:val="nil"/>
              <w:bottom w:val="single" w:sz="4" w:space="0" w:color="auto"/>
            </w:tcBorders>
            <w:vAlign w:val="center"/>
          </w:tcPr>
          <w:p w14:paraId="6CC27A95" w14:textId="77777777" w:rsidR="00E74965" w:rsidRPr="00E74965" w:rsidRDefault="00E74965" w:rsidP="002A1559">
            <w:pPr>
              <w:pStyle w:val="Question"/>
              <w:tabs>
                <w:tab w:val="clear" w:pos="284"/>
                <w:tab w:val="left" w:pos="1418"/>
                <w:tab w:val="left" w:pos="2552"/>
              </w:tabs>
              <w:spacing w:before="0" w:after="0"/>
              <w:ind w:left="28" w:right="57" w:firstLine="0"/>
              <w:rPr>
                <w:rFonts w:ascii="Verdana" w:hAnsi="Verdana"/>
              </w:rPr>
            </w:pPr>
            <w:r w:rsidRPr="00E74965">
              <w:rPr>
                <w:rFonts w:ascii="Verdana" w:hAnsi="Verdana"/>
              </w:rPr>
              <w:fldChar w:fldCharType="begin">
                <w:ffData>
                  <w:name w:val=""/>
                  <w:enabled/>
                  <w:calcOnExit w:val="0"/>
                  <w:textInput>
                    <w:default w:val="dd/mm/yy"/>
                  </w:textInput>
                </w:ffData>
              </w:fldChar>
            </w:r>
            <w:r w:rsidRPr="00E74965">
              <w:rPr>
                <w:rFonts w:ascii="Verdana" w:hAnsi="Verdana"/>
              </w:rPr>
              <w:instrText xml:space="preserve"> FORMTEXT </w:instrText>
            </w:r>
            <w:r w:rsidRPr="00E74965">
              <w:rPr>
                <w:rFonts w:ascii="Verdana" w:hAnsi="Verdana"/>
              </w:rPr>
            </w:r>
            <w:r w:rsidRPr="00E74965">
              <w:rPr>
                <w:rFonts w:ascii="Verdana" w:hAnsi="Verdana"/>
              </w:rPr>
              <w:fldChar w:fldCharType="separate"/>
            </w:r>
            <w:r w:rsidRPr="00E74965">
              <w:rPr>
                <w:rFonts w:ascii="Verdana" w:hAnsi="Verdana"/>
                <w:noProof/>
              </w:rPr>
              <w:t>dd/mm/yy</w:t>
            </w:r>
            <w:r w:rsidRPr="00E74965">
              <w:rPr>
                <w:rFonts w:ascii="Verdana" w:hAnsi="Verdana"/>
              </w:rPr>
              <w:fldChar w:fldCharType="end"/>
            </w:r>
          </w:p>
        </w:tc>
      </w:tr>
    </w:tbl>
    <w:p w14:paraId="30EF01DF" w14:textId="77777777" w:rsidR="00E74965" w:rsidRPr="00D359FA" w:rsidRDefault="00E74965" w:rsidP="00E74965">
      <w:pPr>
        <w:pStyle w:val="QsyesnoCharChar"/>
        <w:rPr>
          <w:rFonts w:ascii="Verdana" w:hAnsi="Verdana"/>
          <w:b/>
        </w:rPr>
      </w:pPr>
    </w:p>
    <w:sectPr w:rsidR="00E74965" w:rsidRPr="00D359FA" w:rsidSect="009D27A0">
      <w:headerReference w:type="default" r:id="rId12"/>
      <w:footerReference w:type="default" r:id="rId13"/>
      <w:headerReference w:type="firs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4B4F64" w14:textId="77777777" w:rsidR="00932261" w:rsidRDefault="00932261">
      <w:pPr>
        <w:spacing w:after="0" w:line="240" w:lineRule="auto"/>
      </w:pPr>
      <w:r>
        <w:separator/>
      </w:r>
    </w:p>
  </w:endnote>
  <w:endnote w:type="continuationSeparator" w:id="0">
    <w:p w14:paraId="1B0A061D" w14:textId="77777777" w:rsidR="00932261" w:rsidRDefault="00932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4939D" w14:textId="77777777" w:rsidR="009229B8" w:rsidRPr="009229B8" w:rsidRDefault="009229B8" w:rsidP="009229B8">
    <w:pPr>
      <w:pStyle w:val="Footer"/>
      <w:tabs>
        <w:tab w:val="right" w:pos="7797"/>
      </w:tabs>
      <w:rPr>
        <w:sz w:val="16"/>
      </w:rPr>
    </w:pPr>
    <w:r>
      <w:rPr>
        <w:noProof/>
        <w:sz w:val="16"/>
      </w:rPr>
      <mc:AlternateContent>
        <mc:Choice Requires="wps">
          <w:drawing>
            <wp:anchor distT="0" distB="0" distL="114300" distR="114300" simplePos="0" relativeHeight="251659264" behindDoc="0" locked="0" layoutInCell="0" allowOverlap="1" wp14:anchorId="74D4BC1F" wp14:editId="2041E16E">
              <wp:simplePos x="0" y="0"/>
              <wp:positionH relativeFrom="margin">
                <wp:posOffset>0</wp:posOffset>
              </wp:positionH>
              <wp:positionV relativeFrom="paragraph">
                <wp:posOffset>-85408</wp:posOffset>
              </wp:positionV>
              <wp:extent cx="496824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AFD4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6.75pt" to="391.2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" o:allowincell="f" strokecolor="#701b45" strokeweight="1.5pt">
              <w10:wrap anchorx="margin"/>
            </v:line>
          </w:pict>
        </mc:Fallback>
      </mc:AlternateContent>
    </w:r>
    <w:r w:rsidRPr="00C77EDB">
      <w:rPr>
        <w:i/>
        <w:sz w:val="16"/>
      </w:rPr>
      <w:t xml:space="preserve"> </w:t>
    </w:r>
    <w:r>
      <w:rPr>
        <w:i/>
        <w:sz w:val="16"/>
      </w:rPr>
      <w:t>FCA</w:t>
    </w:r>
    <w:r>
      <w:rPr>
        <w:sz w:val="12"/>
      </w:rPr>
      <w:sym w:font="Wingdings" w:char="F06C"/>
    </w:r>
    <w:r>
      <w:rPr>
        <w:sz w:val="16"/>
      </w:rPr>
      <w:t xml:space="preserve">Annex 3 Disclosure Checklist </w:t>
    </w:r>
    <w:r>
      <w:rPr>
        <w:sz w:val="12"/>
      </w:rPr>
      <w:sym w:font="Wingdings" w:char="F06C"/>
    </w:r>
    <w:r w:rsidRPr="006D5E25">
      <w:rPr>
        <w:sz w:val="16"/>
      </w:rPr>
      <w:t xml:space="preserve">Release </w:t>
    </w:r>
    <w:r>
      <w:rPr>
        <w:sz w:val="16"/>
      </w:rPr>
      <w:t xml:space="preserve">2 </w:t>
    </w:r>
    <w:r w:rsidRPr="006D5E25">
      <w:rPr>
        <w:sz w:val="12"/>
      </w:rPr>
      <w:sym w:font="Wingdings" w:char="F06C"/>
    </w:r>
    <w:r>
      <w:rPr>
        <w:sz w:val="12"/>
      </w:rPr>
      <w:t xml:space="preserve"> </w:t>
    </w:r>
    <w:r>
      <w:rPr>
        <w:sz w:val="16"/>
      </w:rPr>
      <w:t>October 2018</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noProof/>
        <w:sz w:val="16"/>
      </w:rPr>
      <w:t>2</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7DBCEB" w14:textId="77777777" w:rsidR="00932261" w:rsidRDefault="00932261">
      <w:pPr>
        <w:spacing w:after="0" w:line="240" w:lineRule="auto"/>
      </w:pPr>
      <w:r>
        <w:separator/>
      </w:r>
    </w:p>
  </w:footnote>
  <w:footnote w:type="continuationSeparator" w:id="0">
    <w:p w14:paraId="5A402435" w14:textId="77777777" w:rsidR="00932261" w:rsidRDefault="00932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1C085" w14:textId="77777777" w:rsidR="0077550C" w:rsidRDefault="00E74965" w:rsidP="0077550C">
    <w:pPr>
      <w:pStyle w:val="Header"/>
      <w:jc w:val="right"/>
      <w:rPr>
        <w:b/>
        <w:sz w:val="16"/>
      </w:rPr>
    </w:pPr>
    <w:r>
      <w:rPr>
        <w:b/>
        <w:sz w:val="16"/>
      </w:rPr>
      <w:t>Annex 3 Disclosures</w:t>
    </w:r>
  </w:p>
  <w:p w14:paraId="1683756D" w14:textId="77777777" w:rsidR="005838B1" w:rsidRPr="00850D11" w:rsidRDefault="009A0893" w:rsidP="00850D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C3D1B" w14:textId="77777777" w:rsidR="00D970C6" w:rsidRDefault="00E74965" w:rsidP="00D970C6">
    <w:pPr>
      <w:pStyle w:val="Header"/>
      <w:jc w:val="right"/>
      <w:rPr>
        <w:b/>
        <w:sz w:val="16"/>
      </w:rPr>
    </w:pPr>
    <w:r>
      <w:rPr>
        <w:b/>
        <w:sz w:val="16"/>
      </w:rPr>
      <w:t>Annex 3 Disclosures</w:t>
    </w:r>
  </w:p>
  <w:p w14:paraId="4C710B6D" w14:textId="77777777" w:rsidR="00D970C6" w:rsidRDefault="009A08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yL4tUKdrIxpllrDsOPm4141nB9eW61ZUwvhS7ZhpcP4GzkPL0nlYeVXaAW1aKvkeL+UkxHToi+eFIPzJ9DywPA==" w:salt="jZrpmnwrYE18cSRbCf8nlw=="/>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965"/>
    <w:rsid w:val="009229B8"/>
    <w:rsid w:val="00932261"/>
    <w:rsid w:val="009A0893"/>
    <w:rsid w:val="00CD1558"/>
    <w:rsid w:val="00E54E7E"/>
    <w:rsid w:val="00E74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CF5994"/>
  <w15:chartTrackingRefBased/>
  <w15:docId w15:val="{C069DA1E-FE5E-4D80-8393-DDAF1964B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49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74965"/>
    <w:pPr>
      <w:tabs>
        <w:tab w:val="center" w:pos="4320"/>
        <w:tab w:val="right" w:pos="8640"/>
      </w:tabs>
      <w:spacing w:before="80" w:after="0" w:line="260" w:lineRule="exact"/>
    </w:pPr>
    <w:rPr>
      <w:rFonts w:ascii="Arial" w:eastAsia="Times New Roman" w:hAnsi="Arial" w:cs="Times New Roman"/>
      <w:sz w:val="20"/>
      <w:szCs w:val="20"/>
      <w:lang w:eastAsia="en-GB"/>
    </w:rPr>
  </w:style>
  <w:style w:type="character" w:customStyle="1" w:styleId="HeaderChar">
    <w:name w:val="Header Char"/>
    <w:basedOn w:val="DefaultParagraphFont"/>
    <w:link w:val="Header"/>
    <w:rsid w:val="00E74965"/>
    <w:rPr>
      <w:rFonts w:ascii="Arial" w:eastAsia="Times New Roman" w:hAnsi="Arial" w:cs="Times New Roman"/>
      <w:sz w:val="20"/>
      <w:szCs w:val="20"/>
      <w:lang w:eastAsia="en-GB"/>
    </w:rPr>
  </w:style>
  <w:style w:type="paragraph" w:customStyle="1" w:styleId="Question">
    <w:name w:val="Question"/>
    <w:basedOn w:val="Heading1"/>
    <w:link w:val="QuestionChar1"/>
    <w:rsid w:val="00E74965"/>
    <w:pPr>
      <w:keepNext w:val="0"/>
      <w:keepLines w:val="0"/>
      <w:tabs>
        <w:tab w:val="right" w:pos="-142"/>
        <w:tab w:val="left" w:pos="284"/>
      </w:tabs>
      <w:spacing w:before="180" w:after="40" w:line="220" w:lineRule="exact"/>
      <w:ind w:right="731" w:hanging="567"/>
    </w:pPr>
    <w:rPr>
      <w:rFonts w:ascii="Arial" w:eastAsia="Times New Roman" w:hAnsi="Arial" w:cs="Times New Roman"/>
      <w:color w:val="auto"/>
      <w:sz w:val="18"/>
      <w:szCs w:val="20"/>
      <w:lang w:eastAsia="en-GB"/>
    </w:rPr>
  </w:style>
  <w:style w:type="paragraph" w:customStyle="1" w:styleId="Answer">
    <w:name w:val="Answer"/>
    <w:basedOn w:val="Question"/>
    <w:rsid w:val="00E74965"/>
    <w:pPr>
      <w:spacing w:before="20"/>
      <w:ind w:firstLine="0"/>
    </w:pPr>
  </w:style>
  <w:style w:type="paragraph" w:customStyle="1" w:styleId="QspromptChar">
    <w:name w:val="Qs prompt Char"/>
    <w:basedOn w:val="Question"/>
    <w:link w:val="QspromptCharChar"/>
    <w:rsid w:val="00E74965"/>
    <w:pPr>
      <w:tabs>
        <w:tab w:val="clear" w:pos="284"/>
        <w:tab w:val="left" w:pos="1418"/>
        <w:tab w:val="left" w:pos="2552"/>
      </w:tabs>
      <w:spacing w:before="0" w:after="0"/>
      <w:ind w:left="28" w:right="0" w:firstLine="0"/>
    </w:pPr>
  </w:style>
  <w:style w:type="paragraph" w:customStyle="1" w:styleId="Qsanswer">
    <w:name w:val="Qs answer"/>
    <w:basedOn w:val="Question"/>
    <w:rsid w:val="00E74965"/>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rsid w:val="00E74965"/>
    <w:pPr>
      <w:tabs>
        <w:tab w:val="left" w:pos="851"/>
      </w:tabs>
      <w:spacing w:after="20"/>
    </w:pPr>
  </w:style>
  <w:style w:type="paragraph" w:customStyle="1" w:styleId="Qstablespacer">
    <w:name w:val="Qs table spacer"/>
    <w:basedOn w:val="Normal"/>
    <w:rsid w:val="00E74965"/>
    <w:pPr>
      <w:spacing w:after="0" w:line="240" w:lineRule="auto"/>
    </w:pPr>
    <w:rPr>
      <w:rFonts w:ascii="Arial" w:eastAsia="Times New Roman" w:hAnsi="Arial" w:cs="Times New Roman"/>
      <w:sz w:val="4"/>
      <w:szCs w:val="20"/>
      <w:lang w:eastAsia="en-GB"/>
    </w:rPr>
  </w:style>
  <w:style w:type="character" w:customStyle="1" w:styleId="QsyesnoCharCharChar">
    <w:name w:val="Qs yes/no Char Char Char"/>
    <w:link w:val="QsyesnoCharChar"/>
    <w:rsid w:val="00E74965"/>
    <w:rPr>
      <w:rFonts w:ascii="Arial" w:eastAsia="Times New Roman" w:hAnsi="Arial" w:cs="Times New Roman"/>
      <w:sz w:val="18"/>
      <w:szCs w:val="20"/>
      <w:lang w:eastAsia="en-GB"/>
    </w:rPr>
  </w:style>
  <w:style w:type="character" w:customStyle="1" w:styleId="QspromptCharChar">
    <w:name w:val="Qs prompt Char Char"/>
    <w:link w:val="QspromptChar"/>
    <w:rsid w:val="00E74965"/>
    <w:rPr>
      <w:rFonts w:ascii="Arial" w:eastAsia="Times New Roman" w:hAnsi="Arial" w:cs="Times New Roman"/>
      <w:sz w:val="18"/>
      <w:szCs w:val="20"/>
      <w:lang w:eastAsia="en-GB"/>
    </w:rPr>
  </w:style>
  <w:style w:type="character" w:customStyle="1" w:styleId="QuestionChar1">
    <w:name w:val="Question Char1"/>
    <w:link w:val="Question"/>
    <w:rsid w:val="00E74965"/>
    <w:rPr>
      <w:rFonts w:ascii="Arial" w:eastAsia="Times New Roman" w:hAnsi="Arial" w:cs="Times New Roman"/>
      <w:sz w:val="18"/>
      <w:szCs w:val="20"/>
      <w:lang w:eastAsia="en-GB"/>
    </w:rPr>
  </w:style>
  <w:style w:type="character" w:customStyle="1" w:styleId="Heading1Char">
    <w:name w:val="Heading 1 Char"/>
    <w:basedOn w:val="DefaultParagraphFont"/>
    <w:link w:val="Heading1"/>
    <w:uiPriority w:val="9"/>
    <w:rsid w:val="00E74965"/>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nhideWhenUsed/>
    <w:rsid w:val="009229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9B8"/>
  </w:style>
  <w:style w:type="character" w:styleId="PageNumber">
    <w:name w:val="page number"/>
    <w:basedOn w:val="DefaultParagraphFont"/>
    <w:rsid w:val="00922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141bad0b-5ec6-4ecd-811e-f9d8ff358b9c" ContentTypeId="0x0101005A9549D9A06FAF49B2796176C16A6E111817" PreviousValue="false"/>
</file>

<file path=customXml/item3.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8ae9a711a32d70a31d43f3f756e669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dead92c6afb2f8f410d8baac12629bc"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s_FirstChKInDone xmlns="http://schemas.microsoft.com/sharepoint/v3">Yes</Is_FirstChKInDone>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 xsi:nil="true"/>
    <fca_livelink_obj_id xmlns="http://schemas.microsoft.com/sharepoint/v3" xsi:nil="true"/>
    <fca_livelink_accessed_date xmlns="http://schemas.microsoft.com/sharepoint/v3" xsi:nil="true"/>
    <fca_mig_stage xmlns="964f0a7c-bcf0-4337-b577-3747e0a5c4bc">0</fca_mig_stag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62</Value>
      <Value>61</Value>
      <Value>3</Value>
      <Value>1</Value>
    </TaxCatchAll>
    <fca_mig_stage_2 xmlns="964f0a7c-bcf0-4337-b577-3747e0a5c4bc" xsi:nil="true"/>
    <fca_prop_ret_label xmlns="http://schemas.microsoft.com/sharepoint/v3" xsi:nil="true"/>
    <fca_livelink_recstatus xmlns="http://schemas.microsoft.com/sharepoint/v3" xsi:nil="true"/>
    <fca_retention_trg_date xmlns="http://schemas.microsoft.com/sharepoint/v3"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New Authorisation</TermName>
          <TermId xmlns="http://schemas.microsoft.com/office/infopath/2007/PartnerControls">be2db2ad-1550-4d66-b2ed-beff9f9e4e97</TermId>
        </TermInfo>
      </Terms>
    </id42ed27a91f471db5fabca6a1153016>
    <fca_livelink_recstatus_date xmlns="http://schemas.microsoft.com/sharepoint/v3" xsi:nil="true"/>
    <fca_mig_partial_path xmlns="http://schemas.microsoft.com/sharepoint/v3" xsi:nil="true"/>
    <_dlc_DocIdPersistId xmlns="964f0a7c-bcf0-4337-b577-3747e0a5c4bc">true</_dlc_DocIdPersistId>
    <_dlc_DocId xmlns="964f0a7c-bcf0-4337-b577-3747e0a5c4bc">7A2UM2KYKSJP-935211081-2901</_dlc_DocId>
    <_dlc_DocIdUrl xmlns="964f0a7c-bcf0-4337-b577-3747e0a5c4bc">
      <Url>https://thefca.sharepoint.com/sites/ProForMapAndLog/_layouts/15/DocIdRedir.aspx?ID=7A2UM2KYKSJP-935211081-2901</Url>
      <Description>7A2UM2KYKSJP-935211081-2901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D1BBA3-919E-4882-97F5-9FDB0B82EF41}">
  <ds:schemaRefs>
    <ds:schemaRef ds:uri="http://schemas.microsoft.com/sharepoint/events"/>
  </ds:schemaRefs>
</ds:datastoreItem>
</file>

<file path=customXml/itemProps2.xml><?xml version="1.0" encoding="utf-8"?>
<ds:datastoreItem xmlns:ds="http://schemas.openxmlformats.org/officeDocument/2006/customXml" ds:itemID="{E803B2DE-B45F-41AE-A58C-C4FD082FB1C3}">
  <ds:schemaRefs>
    <ds:schemaRef ds:uri="Microsoft.SharePoint.Taxonomy.ContentTypeSync"/>
  </ds:schemaRefs>
</ds:datastoreItem>
</file>

<file path=customXml/itemProps3.xml><?xml version="1.0" encoding="utf-8"?>
<ds:datastoreItem xmlns:ds="http://schemas.openxmlformats.org/officeDocument/2006/customXml" ds:itemID="{2DE2EF4C-7077-451E-866F-C9AFBD5A1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7BE80E-33BB-4EAE-BC30-EF9E67B80AA6}">
  <ds:schemaRefs>
    <ds:schemaRef ds:uri="http://schemas.microsoft.com/office/2006/metadata/properties"/>
    <ds:schemaRef ds:uri="http://schemas.microsoft.com/office/infopath/2007/PartnerControls"/>
    <ds:schemaRef ds:uri="http://schemas.microsoft.com/sharepoint/v3"/>
    <ds:schemaRef ds:uri="964f0a7c-bcf0-4337-b577-3747e0a5c4bc"/>
  </ds:schemaRefs>
</ds:datastoreItem>
</file>

<file path=customXml/itemProps5.xml><?xml version="1.0" encoding="utf-8"?>
<ds:datastoreItem xmlns:ds="http://schemas.openxmlformats.org/officeDocument/2006/customXml" ds:itemID="{8FB27225-5520-4211-9CF7-1D9D8CF60B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953</Words>
  <Characters>5436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Dulieu</dc:creator>
  <cp:keywords/>
  <dc:description/>
  <cp:lastModifiedBy>Kelly Dulieu</cp:lastModifiedBy>
  <cp:revision>2</cp:revision>
  <dcterms:created xsi:type="dcterms:W3CDTF">2022-04-21T07:14:00Z</dcterms:created>
  <dcterms:modified xsi:type="dcterms:W3CDTF">2022-04-21T07:14:00Z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0x0101005A9549D9A06FAF49B2796176C16A6E1118170085A669AD229CF3499FEE9BA5271AF5E8</vt:lpwstr>
  </property>
  <property fmtid="{D5CDD505-2E9C-101B-9397-08002B2CF9AE}" pid="3" name="l8bdf5901bd84cc9ab354cf74d0d75d8">
    <vt:lpwstr/>
  </property>
  <property fmtid="{D5CDD505-2E9C-101B-9397-08002B2CF9AE}" pid="4" name="k6cffc08cdea4d029f19334431296236">
    <vt:lpwstr/>
  </property>
  <property fmtid="{D5CDD505-2E9C-101B-9397-08002B2CF9AE}" pid="5" name="fca_application_type">
    <vt:lpwstr>61;#New Authorisation|be2db2ad-1550-4d66-b2ed-beff9f9e4e97</vt:lpwstr>
  </property>
  <property fmtid="{D5CDD505-2E9C-101B-9397-08002B2CF9AE}" pid="6" name="fca_month_year">
    <vt:lpwstr/>
  </property>
  <property fmtid="{D5CDD505-2E9C-101B-9397-08002B2CF9AE}" pid="7" name="fca_process_famiily">
    <vt:lpwstr/>
  </property>
  <property fmtid="{D5CDD505-2E9C-101B-9397-08002B2CF9AE}" pid="8" name="fca_document_purpose">
    <vt:lpwstr>3;#Administrative|c0a6a800-ee19-465d-995e-3864540afe03</vt:lpwstr>
  </property>
  <property fmtid="{D5CDD505-2E9C-101B-9397-08002B2CF9AE}" pid="9" name="d10ce44c83b449bc85d6eb5d7135cd58">
    <vt:lpwstr/>
  </property>
  <property fmtid="{D5CDD505-2E9C-101B-9397-08002B2CF9AE}" pid="10" name="fca_log_type">
    <vt:lpwstr/>
  </property>
  <property fmtid="{D5CDD505-2E9C-101B-9397-08002B2CF9AE}" pid="11" name="fca_auth_process_doc_type">
    <vt:lpwstr/>
  </property>
  <property fmtid="{D5CDD505-2E9C-101B-9397-08002B2CF9AE}" pid="12" name="gd10d81d70b4400a8a9e2bd29d324e4c">
    <vt:lpwstr/>
  </property>
  <property fmtid="{D5CDD505-2E9C-101B-9397-08002B2CF9AE}" pid="13" name="fca_auth_forms_doc_type">
    <vt:lpwstr>62;#Form|cd17caef-2710-46b2-9ac0-ce551f7293c3</vt:lpwstr>
  </property>
  <property fmtid="{D5CDD505-2E9C-101B-9397-08002B2CF9AE}" pid="14" name="fca_information_classification">
    <vt:lpwstr>1;#FCA Official|d07129ec-4894-4cda-af0c-a925cb68d6e3</vt:lpwstr>
  </property>
  <property fmtid="{D5CDD505-2E9C-101B-9397-08002B2CF9AE}" pid="15" name="jce717dce39641ca84a076397899af94">
    <vt:lpwstr/>
  </property>
  <property fmtid="{D5CDD505-2E9C-101B-9397-08002B2CF9AE}" pid="16" name="fca_authorisations_area">
    <vt:lpwstr/>
  </property>
  <property fmtid="{D5CDD505-2E9C-101B-9397-08002B2CF9AE}" pid="17" name="_dlc_DocIdItemGuid">
    <vt:lpwstr>a9acebae-63ac-46ec-8118-0ccae6acadb2</vt:lpwstr>
  </property>
</Properties>
</file>