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7E22"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7C6CB1E7" wp14:editId="7475A513">
            <wp:simplePos x="0" y="0"/>
            <wp:positionH relativeFrom="column">
              <wp:posOffset>1430655</wp:posOffset>
            </wp:positionH>
            <wp:positionV relativeFrom="paragraph">
              <wp:posOffset>-240983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77777777" w:rsidR="00C37926" w:rsidRDefault="00C37926" w:rsidP="00B446DF">
      <w:pPr>
        <w:pStyle w:val="Text"/>
        <w:ind w:left="-2410"/>
        <w:rPr>
          <w:rFonts w:ascii="Book Antiqua" w:hAnsi="Book Antiqua" w:cs="Arial"/>
          <w:b/>
          <w:noProof/>
          <w:sz w:val="32"/>
          <w:szCs w:val="32"/>
        </w:rPr>
      </w:pPr>
    </w:p>
    <w:p w14:paraId="5D753A8B" w14:textId="3CE4BDD5" w:rsidR="00C37926" w:rsidRDefault="00C37926" w:rsidP="00C37926">
      <w:pPr>
        <w:pStyle w:val="Text"/>
        <w:ind w:left="4536"/>
        <w:rPr>
          <w:rFonts w:ascii="Book Antiqua" w:hAnsi="Book Antiqua" w:cs="Arial"/>
          <w:b/>
          <w:noProof/>
          <w:sz w:val="32"/>
          <w:szCs w:val="32"/>
        </w:rPr>
      </w:pPr>
    </w:p>
    <w:p w14:paraId="7553D96F" w14:textId="77777777" w:rsidR="00C37926" w:rsidRPr="00C37926" w:rsidRDefault="00C37926" w:rsidP="00B446DF">
      <w:pPr>
        <w:pStyle w:val="Text"/>
        <w:ind w:left="-2410"/>
        <w:rPr>
          <w:rFonts w:ascii="Book Antiqua" w:hAnsi="Book Antiqua" w:cs="Arial"/>
          <w:b/>
          <w:noProof/>
          <w:sz w:val="30"/>
          <w:szCs w:val="30"/>
        </w:rPr>
      </w:pPr>
    </w:p>
    <w:p w14:paraId="3B211EB8" w14:textId="77777777" w:rsidR="00AB7F9D" w:rsidRDefault="00AB7F9D" w:rsidP="00B446DF">
      <w:pPr>
        <w:pStyle w:val="Text"/>
        <w:ind w:left="-2410"/>
        <w:rPr>
          <w:rFonts w:ascii="Verdana" w:hAnsi="Verdana" w:cs="Arial"/>
          <w:b/>
          <w:sz w:val="30"/>
          <w:szCs w:val="30"/>
        </w:rPr>
      </w:pPr>
    </w:p>
    <w:p w14:paraId="2CC977FA" w14:textId="60A44271" w:rsidR="00B446DF" w:rsidRPr="00E418DB" w:rsidRDefault="004874FB" w:rsidP="00B446DF">
      <w:pPr>
        <w:pStyle w:val="Text"/>
        <w:ind w:left="-2410"/>
        <w:rPr>
          <w:rFonts w:ascii="Verdana" w:hAnsi="Verdana" w:cs="Arial"/>
          <w:b/>
          <w:sz w:val="28"/>
          <w:szCs w:val="28"/>
        </w:rPr>
      </w:pPr>
      <w:r>
        <w:rPr>
          <w:rFonts w:ascii="Verdana" w:hAnsi="Verdana" w:cs="Arial"/>
          <w:b/>
          <w:sz w:val="28"/>
          <w:szCs w:val="28"/>
        </w:rPr>
        <w:t>Validation Orders (VO) Application Forms - Notes</w:t>
      </w:r>
    </w:p>
    <w:p w14:paraId="480C8703" w14:textId="3D2AD51B" w:rsidR="00643CEF" w:rsidRPr="00C37926" w:rsidRDefault="00AB7F9D" w:rsidP="00643CEF">
      <w:pPr>
        <w:pStyle w:val="Text"/>
        <w:rPr>
          <w:rFonts w:ascii="Verdana" w:hAnsi="Verdana"/>
          <w:b/>
          <w:sz w:val="32"/>
          <w:szCs w:val="32"/>
        </w:rPr>
      </w:pPr>
      <w:r>
        <w:rPr>
          <w:noProof/>
        </w:rPr>
        <mc:AlternateContent>
          <mc:Choice Requires="wps">
            <w:drawing>
              <wp:anchor distT="0" distB="0" distL="114300" distR="114300" simplePos="0" relativeHeight="251658240" behindDoc="0" locked="0" layoutInCell="1" allowOverlap="1" wp14:anchorId="08497EE1" wp14:editId="052172FC">
                <wp:simplePos x="0" y="0"/>
                <wp:positionH relativeFrom="page">
                  <wp:posOffset>552450</wp:posOffset>
                </wp:positionH>
                <wp:positionV relativeFrom="page">
                  <wp:posOffset>2709863</wp:posOffset>
                </wp:positionV>
                <wp:extent cx="6381119" cy="7153909"/>
                <wp:effectExtent l="0" t="0" r="1968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9" cy="7153909"/>
                        </a:xfrm>
                        <a:prstGeom prst="rect">
                          <a:avLst/>
                        </a:prstGeom>
                        <a:noFill/>
                        <a:ln w="9525">
                          <a:solidFill>
                            <a:srgbClr val="000000"/>
                          </a:solidFill>
                          <a:miter lim="800000"/>
                          <a:headEnd/>
                          <a:tailEnd/>
                        </a:ln>
                      </wps:spPr>
                      <wps:txbx>
                        <w:txbxContent>
                          <w:p w14:paraId="44A5036B" w14:textId="77777777" w:rsidR="004874FB" w:rsidRPr="00FF7CE7" w:rsidRDefault="004874FB" w:rsidP="004874FB">
                            <w:pPr>
                              <w:pStyle w:val="ListParagraph"/>
                              <w:spacing w:after="120" w:line="240" w:lineRule="auto"/>
                              <w:ind w:left="0"/>
                              <w:rPr>
                                <w:rFonts w:ascii="Verdana" w:hAnsi="Verdana"/>
                                <w:sz w:val="22"/>
                                <w:szCs w:val="22"/>
                              </w:rPr>
                            </w:pPr>
                          </w:p>
                          <w:p w14:paraId="2DA5FE84" w14:textId="27781406" w:rsidR="004874FB" w:rsidRPr="00FF7CE7" w:rsidRDefault="004874FB" w:rsidP="004874FB">
                            <w:pPr>
                              <w:pStyle w:val="ListParagraph"/>
                              <w:spacing w:after="120" w:line="240" w:lineRule="auto"/>
                              <w:ind w:left="0"/>
                              <w:rPr>
                                <w:rFonts w:ascii="Verdana" w:hAnsi="Verdana"/>
                              </w:rPr>
                            </w:pPr>
                            <w:r w:rsidRPr="00FF7CE7">
                              <w:rPr>
                                <w:rFonts w:ascii="Verdana" w:hAnsi="Verdana"/>
                              </w:rPr>
                              <w:t xml:space="preserve">If you entered into regulated credit agreements when you were unauthorised or did not hold the required lending permission – or if agreements were entered into following an introduction by an unauthorised credit broker or other third party – you cannot enforce them without a validation order from the FCA. An order may also be needed in other circumstances where agreements were entered into before April 2014. </w:t>
                            </w:r>
                          </w:p>
                          <w:p w14:paraId="5421D7FB" w14:textId="1A668ED6" w:rsidR="004874FB" w:rsidRPr="00FF7CE7" w:rsidRDefault="004874FB" w:rsidP="004874FB">
                            <w:pPr>
                              <w:pStyle w:val="ListParagraph"/>
                              <w:spacing w:after="120" w:line="240" w:lineRule="auto"/>
                              <w:ind w:left="0"/>
                              <w:rPr>
                                <w:rFonts w:ascii="Verdana" w:hAnsi="Verdana"/>
                              </w:rPr>
                            </w:pPr>
                          </w:p>
                          <w:p w14:paraId="3167A3B5" w14:textId="77777777" w:rsidR="004874FB" w:rsidRPr="00FF7CE7" w:rsidRDefault="004874FB" w:rsidP="004874FB">
                            <w:pPr>
                              <w:pStyle w:val="ListParagraph"/>
                              <w:spacing w:after="120" w:line="240" w:lineRule="auto"/>
                              <w:ind w:left="0"/>
                              <w:rPr>
                                <w:rFonts w:ascii="Verdana" w:hAnsi="Verdana"/>
                              </w:rPr>
                            </w:pPr>
                            <w:r w:rsidRPr="00FF7CE7">
                              <w:rPr>
                                <w:rFonts w:ascii="Verdana" w:hAnsi="Verdana"/>
                              </w:rPr>
                              <w:t>This guidance explains what validation orders are and how you can apply for one. The FCA can only grant a validation order if we are satisfied that it is just and equitable to do so in the circumstances of the case. Firms are reminded that carrying on credit-related regulated activity without an appropriate permission may be a criminal offence.</w:t>
                            </w:r>
                          </w:p>
                          <w:p w14:paraId="70002354" w14:textId="77777777" w:rsidR="004874FB" w:rsidRPr="00FF7CE7" w:rsidRDefault="004874FB" w:rsidP="004874FB">
                            <w:pPr>
                              <w:pStyle w:val="ListParagraph"/>
                              <w:spacing w:after="120" w:line="240" w:lineRule="auto"/>
                              <w:ind w:left="0"/>
                              <w:rPr>
                                <w:rFonts w:ascii="Verdana" w:hAnsi="Verdana"/>
                              </w:rPr>
                            </w:pPr>
                          </w:p>
                          <w:p w14:paraId="50583FC8" w14:textId="77777777" w:rsidR="004874FB" w:rsidRPr="00FF7CE7" w:rsidRDefault="004874FB" w:rsidP="004874FB">
                            <w:pPr>
                              <w:pStyle w:val="ListParagraph"/>
                              <w:spacing w:after="120" w:line="240" w:lineRule="auto"/>
                              <w:ind w:left="0"/>
                              <w:rPr>
                                <w:rFonts w:ascii="Verdana" w:hAnsi="Verdana"/>
                                <w:b/>
                              </w:rPr>
                            </w:pPr>
                            <w:r w:rsidRPr="00FF7CE7">
                              <w:rPr>
                                <w:rFonts w:ascii="Verdana" w:hAnsi="Verdana"/>
                                <w:b/>
                              </w:rPr>
                              <w:t>Background</w:t>
                            </w:r>
                          </w:p>
                          <w:p w14:paraId="11AC5A8E" w14:textId="77777777" w:rsidR="004874FB" w:rsidRPr="00FF7CE7" w:rsidRDefault="004874FB" w:rsidP="004874FB">
                            <w:pPr>
                              <w:pStyle w:val="ListParagraph"/>
                              <w:spacing w:after="120" w:line="240" w:lineRule="auto"/>
                              <w:ind w:left="0"/>
                              <w:rPr>
                                <w:rFonts w:ascii="Verdana" w:hAnsi="Verdana"/>
                                <w:b/>
                              </w:rPr>
                            </w:pPr>
                            <w:r w:rsidRPr="00FF7CE7">
                              <w:rPr>
                                <w:rFonts w:ascii="Verdana" w:hAnsi="Verdana"/>
                              </w:rPr>
                              <w:t>Before 1 April 2014, the Consumer Credit Act 1974 (CCA) enabled firms to apply to the Office of Fair Trading (OFT) for an order to validate consumer credit (or consumer hire) agreements that were entered into by an unlicensed creditor (or owner), or as a result of an introduction by an unlicensed credit broker. These orders were known as ‘validation orders’. In the absence of a validation order, the agreements were unenforceable against the debtor or hirer. The CCA also enabled firms to apply to validate contracts for ancillary credit services that were entered into by an unlicensed trader. On 1 April 2014 the regulation of consumer credit was transferred from the OFT to the FCA.</w:t>
                            </w:r>
                          </w:p>
                          <w:p w14:paraId="5E025ECC" w14:textId="77777777" w:rsidR="00E418DB" w:rsidRPr="008054A9" w:rsidRDefault="00E418DB" w:rsidP="00643CEF">
                            <w:pPr>
                              <w:tabs>
                                <w:tab w:val="left" w:pos="3544"/>
                                <w:tab w:val="right" w:pos="4253"/>
                              </w:tabs>
                              <w:spacing w:line="240" w:lineRule="exact"/>
                              <w:ind w:left="142" w:right="312"/>
                              <w:rPr>
                                <w:rFonts w:ascii="Verdana" w:hAnsi="Verdana"/>
                                <w:b/>
                                <w:sz w:val="18"/>
                                <w:szCs w:val="18"/>
                                <w:u w:val="single"/>
                              </w:rPr>
                            </w:pPr>
                          </w:p>
                          <w:p w14:paraId="59226DCD" w14:textId="77777777" w:rsidR="00E418DB" w:rsidRDefault="00E418DB" w:rsidP="003F3697">
                            <w:pPr>
                              <w:tabs>
                                <w:tab w:val="right" w:pos="4253"/>
                              </w:tabs>
                              <w:spacing w:line="240" w:lineRule="exact"/>
                              <w:ind w:left="142" w:right="312" w:hanging="284"/>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3" o:spid="_x0000_s1026" style="position:absolute;margin-left:43.5pt;margin-top:213.4pt;width:502.45pt;height:56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" filled="f">
                <v:textbox inset="8mm,0,5mm,0">
                  <w:txbxContent>
                    <w:p w14:paraId="44A5036B" w14:textId="77777777" w:rsidR="004874FB" w:rsidRPr="00FF7CE7" w:rsidRDefault="004874FB" w:rsidP="004874FB">
                      <w:pPr>
                        <w:pStyle w:val="ListParagraph"/>
                        <w:spacing w:after="120" w:line="240" w:lineRule="auto"/>
                        <w:ind w:left="0"/>
                        <w:rPr>
                          <w:rFonts w:ascii="Verdana" w:hAnsi="Verdana"/>
                          <w:sz w:val="22"/>
                          <w:szCs w:val="22"/>
                        </w:rPr>
                      </w:pPr>
                    </w:p>
                    <w:p w14:paraId="2DA5FE84" w14:textId="27781406" w:rsidR="004874FB" w:rsidRPr="00FF7CE7" w:rsidRDefault="004874FB" w:rsidP="004874FB">
                      <w:pPr>
                        <w:pStyle w:val="ListParagraph"/>
                        <w:spacing w:after="120" w:line="240" w:lineRule="auto"/>
                        <w:ind w:left="0"/>
                        <w:rPr>
                          <w:rFonts w:ascii="Verdana" w:hAnsi="Verdana"/>
                        </w:rPr>
                      </w:pPr>
                      <w:r w:rsidRPr="00FF7CE7">
                        <w:rPr>
                          <w:rFonts w:ascii="Verdana" w:hAnsi="Verdana"/>
                        </w:rPr>
                        <w:t xml:space="preserve">If you entered into regulated credit agreements when you were unauthorised or did not hold the required lending permission – or if agreements were entered into following an introduction by an unauthorised credit broker or other third party – you cannot enforce them without a validation order from the FCA. An order may also be needed in other circumstances where agreements were entered into before April 2014. </w:t>
                      </w:r>
                    </w:p>
                    <w:p w14:paraId="5421D7FB" w14:textId="1A668ED6" w:rsidR="004874FB" w:rsidRPr="00FF7CE7" w:rsidRDefault="004874FB" w:rsidP="004874FB">
                      <w:pPr>
                        <w:pStyle w:val="ListParagraph"/>
                        <w:spacing w:after="120" w:line="240" w:lineRule="auto"/>
                        <w:ind w:left="0"/>
                        <w:rPr>
                          <w:rFonts w:ascii="Verdana" w:hAnsi="Verdana"/>
                        </w:rPr>
                      </w:pPr>
                    </w:p>
                    <w:p w14:paraId="3167A3B5" w14:textId="77777777" w:rsidR="004874FB" w:rsidRPr="00FF7CE7" w:rsidRDefault="004874FB" w:rsidP="004874FB">
                      <w:pPr>
                        <w:pStyle w:val="ListParagraph"/>
                        <w:spacing w:after="120" w:line="240" w:lineRule="auto"/>
                        <w:ind w:left="0"/>
                        <w:rPr>
                          <w:rFonts w:ascii="Verdana" w:hAnsi="Verdana"/>
                        </w:rPr>
                      </w:pPr>
                      <w:r w:rsidRPr="00FF7CE7">
                        <w:rPr>
                          <w:rFonts w:ascii="Verdana" w:hAnsi="Verdana"/>
                        </w:rPr>
                        <w:t>This guidance explains what validation orders are and how you can apply for one. The FCA can only grant a validation order if we are satisfied that it is just and equitable to do so in the circumstances of the case. Firms are reminded that carrying on credit-related regulated activity without an appropriate permission may be a criminal offence.</w:t>
                      </w:r>
                    </w:p>
                    <w:p w14:paraId="70002354" w14:textId="77777777" w:rsidR="004874FB" w:rsidRPr="00FF7CE7" w:rsidRDefault="004874FB" w:rsidP="004874FB">
                      <w:pPr>
                        <w:pStyle w:val="ListParagraph"/>
                        <w:spacing w:after="120" w:line="240" w:lineRule="auto"/>
                        <w:ind w:left="0"/>
                        <w:rPr>
                          <w:rFonts w:ascii="Verdana" w:hAnsi="Verdana"/>
                        </w:rPr>
                      </w:pPr>
                    </w:p>
                    <w:p w14:paraId="50583FC8" w14:textId="77777777" w:rsidR="004874FB" w:rsidRPr="00FF7CE7" w:rsidRDefault="004874FB" w:rsidP="004874FB">
                      <w:pPr>
                        <w:pStyle w:val="ListParagraph"/>
                        <w:spacing w:after="120" w:line="240" w:lineRule="auto"/>
                        <w:ind w:left="0"/>
                        <w:rPr>
                          <w:rFonts w:ascii="Verdana" w:hAnsi="Verdana"/>
                          <w:b/>
                        </w:rPr>
                      </w:pPr>
                      <w:r w:rsidRPr="00FF7CE7">
                        <w:rPr>
                          <w:rFonts w:ascii="Verdana" w:hAnsi="Verdana"/>
                          <w:b/>
                        </w:rPr>
                        <w:t>Background</w:t>
                      </w:r>
                    </w:p>
                    <w:p w14:paraId="11AC5A8E" w14:textId="77777777" w:rsidR="004874FB" w:rsidRPr="00FF7CE7" w:rsidRDefault="004874FB" w:rsidP="004874FB">
                      <w:pPr>
                        <w:pStyle w:val="ListParagraph"/>
                        <w:spacing w:after="120" w:line="240" w:lineRule="auto"/>
                        <w:ind w:left="0"/>
                        <w:rPr>
                          <w:rFonts w:ascii="Verdana" w:hAnsi="Verdana"/>
                          <w:b/>
                        </w:rPr>
                      </w:pPr>
                      <w:r w:rsidRPr="00FF7CE7">
                        <w:rPr>
                          <w:rFonts w:ascii="Verdana" w:hAnsi="Verdana"/>
                        </w:rPr>
                        <w:t>Before 1 April 2014, the Consumer Credit Act 1974 (CCA) enabled firms to apply to the Office of Fair Trading (OFT) for an order to validate consumer credit (or consumer hire) agreements that were entered into by an unlicensed creditor (or owner), or as a result of an introduction by an unlicensed credit broker. These orders were known as ‘validation orders’. In the absence of a validation order, the agreements were unenforceable against the debtor or hirer. The CCA also enabled firms to apply to validate contracts for ancillary credit services that were entered into by an unlicensed trader. On 1 April 2014 the regulation of consumer credit was transferred from the OFT to the FCA.</w:t>
                      </w:r>
                    </w:p>
                    <w:p w14:paraId="5E025ECC" w14:textId="77777777" w:rsidR="00E418DB" w:rsidRPr="008054A9" w:rsidRDefault="00E418DB" w:rsidP="00643CEF">
                      <w:pPr>
                        <w:tabs>
                          <w:tab w:val="left" w:pos="3544"/>
                          <w:tab w:val="right" w:pos="4253"/>
                        </w:tabs>
                        <w:spacing w:line="240" w:lineRule="exact"/>
                        <w:ind w:left="142" w:right="312"/>
                        <w:rPr>
                          <w:rFonts w:ascii="Verdana" w:hAnsi="Verdana"/>
                          <w:b/>
                          <w:sz w:val="18"/>
                          <w:szCs w:val="18"/>
                          <w:u w:val="single"/>
                        </w:rPr>
                      </w:pPr>
                    </w:p>
                    <w:p w14:paraId="59226DCD" w14:textId="77777777" w:rsidR="00E418DB" w:rsidRDefault="00E418DB" w:rsidP="003F3697">
                      <w:pPr>
                        <w:tabs>
                          <w:tab w:val="right" w:pos="4253"/>
                        </w:tabs>
                        <w:spacing w:line="240" w:lineRule="exact"/>
                        <w:ind w:left="142" w:right="312" w:hanging="284"/>
                        <w:rPr>
                          <w:rFonts w:ascii="Verdana" w:hAnsi="Verdana"/>
                          <w:sz w:val="18"/>
                          <w:szCs w:val="18"/>
                        </w:rPr>
                      </w:pPr>
                    </w:p>
                  </w:txbxContent>
                </v:textbox>
                <w10:wrap anchorx="page" anchory="page"/>
              </v:rect>
            </w:pict>
          </mc:Fallback>
        </mc:AlternateContent>
      </w:r>
    </w:p>
    <w:p w14:paraId="23A46C16" w14:textId="3E5AD1AE" w:rsidR="009528D1" w:rsidRPr="00842101" w:rsidRDefault="009528D1">
      <w:r w:rsidRPr="00842101">
        <w:br w:type="page"/>
      </w:r>
    </w:p>
    <w:p w14:paraId="470294B5" w14:textId="77777777" w:rsidR="00EF7644" w:rsidRDefault="00EF7644" w:rsidP="00F9248E">
      <w:pPr>
        <w:pStyle w:val="Qsheading1"/>
        <w:ind w:left="-1701" w:right="731"/>
        <w:rPr>
          <w:rFonts w:ascii="Verdana" w:hAnsi="Verdana"/>
        </w:rPr>
      </w:pPr>
    </w:p>
    <w:p w14:paraId="71CA150B"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b/>
          <w:bCs/>
          <w:sz w:val="22"/>
          <w:szCs w:val="22"/>
        </w:rPr>
      </w:pPr>
      <w:r>
        <w:rPr>
          <w:rStyle w:val="normaltextrun"/>
          <w:rFonts w:ascii="Verdana" w:hAnsi="Verdana" w:cs="Segoe UI"/>
          <w:b/>
          <w:bCs/>
          <w:sz w:val="22"/>
          <w:szCs w:val="22"/>
        </w:rPr>
        <w:t>Unenforceability</w:t>
      </w:r>
      <w:r>
        <w:rPr>
          <w:rStyle w:val="eop"/>
          <w:rFonts w:ascii="Verdana" w:hAnsi="Verdana" w:cs="Segoe UI"/>
          <w:b/>
          <w:bCs/>
          <w:sz w:val="22"/>
          <w:szCs w:val="22"/>
        </w:rPr>
        <w:t> </w:t>
      </w:r>
    </w:p>
    <w:p w14:paraId="70964865"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b/>
          <w:sz w:val="18"/>
          <w:szCs w:val="18"/>
        </w:rPr>
      </w:pPr>
    </w:p>
    <w:p w14:paraId="50643F34"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Where a firm has entered into agreements that are unenforceable against the borrower, absent a VO, the firm cannot legally:</w:t>
      </w:r>
      <w:r>
        <w:rPr>
          <w:rStyle w:val="eop"/>
          <w:rFonts w:ascii="Verdana" w:hAnsi="Verdana" w:cs="Segoe UI"/>
          <w:sz w:val="18"/>
          <w:szCs w:val="18"/>
        </w:rPr>
        <w:t> </w:t>
      </w:r>
    </w:p>
    <w:p w14:paraId="30D9991D" w14:textId="77777777" w:rsidR="00A943D6" w:rsidRPr="004126AE"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sue on the agreement; or </w:t>
      </w:r>
    </w:p>
    <w:p w14:paraId="26D3C49B" w14:textId="77777777" w:rsidR="00A943D6" w:rsidRPr="004126AE"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(in probability) enforce it by realisation of security. </w:t>
      </w:r>
    </w:p>
    <w:p w14:paraId="252A2455"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5CC0A94B"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If a firm brought legal action against a consumer, this would be as a precursor to entering judgment (which would clearly constitute enforcement of the agreement). We also note that threatening action that the firm knows it cannot legally take or follow through could potentially be regarded as misleading, unless the limitations of such actions are made clear to the customer. </w:t>
      </w:r>
      <w:r>
        <w:rPr>
          <w:rStyle w:val="eop"/>
          <w:rFonts w:ascii="Verdana" w:hAnsi="Verdana" w:cs="Segoe UI"/>
          <w:sz w:val="18"/>
          <w:szCs w:val="18"/>
        </w:rPr>
        <w:t> </w:t>
      </w:r>
    </w:p>
    <w:p w14:paraId="662B88F9"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2F32936C"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 xml:space="preserve">The FCA has published guidance on the meaning of enforcement of a security (such as a guarantee or indemnity) in the context of the CCA, which can be found </w:t>
      </w:r>
      <w:hyperlink r:id="rId14" w:tgtFrame="_blank" w:history="1">
        <w:r>
          <w:rPr>
            <w:rStyle w:val="normaltextrun"/>
            <w:rFonts w:ascii="Verdana" w:hAnsi="Verdana" w:cs="Segoe UI"/>
            <w:color w:val="0000FF"/>
            <w:sz w:val="18"/>
            <w:szCs w:val="18"/>
            <w:u w:val="single"/>
          </w:rPr>
          <w:t>here</w:t>
        </w:r>
      </w:hyperlink>
      <w:r>
        <w:rPr>
          <w:rStyle w:val="normaltextrun"/>
          <w:rFonts w:ascii="Verdana" w:hAnsi="Verdana" w:cs="Segoe UI"/>
          <w:sz w:val="18"/>
          <w:szCs w:val="18"/>
        </w:rPr>
        <w:t>. This guidance provides that the FCA considers ‘enforcement of security’ is not just limited to obtaining a court judgment. The guidance gives the view that an agreement is enforced if, following breach of the agreement by the borrower: </w:t>
      </w:r>
      <w:r>
        <w:rPr>
          <w:rStyle w:val="eop"/>
          <w:rFonts w:ascii="Verdana" w:hAnsi="Verdana" w:cs="Segoe UI"/>
          <w:sz w:val="18"/>
          <w:szCs w:val="18"/>
        </w:rPr>
        <w:t> </w:t>
      </w:r>
    </w:p>
    <w:p w14:paraId="424E5D57"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the lender demands payment, or </w:t>
      </w:r>
    </w:p>
    <w:p w14:paraId="535FBAE8"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the lender takes payment from the guarantor by using a continuous payment authority or direct debit mandate that was previously provided and without at least appropriate prior notification to the guarantor. </w:t>
      </w:r>
    </w:p>
    <w:p w14:paraId="1A922A21" w14:textId="77777777" w:rsidR="00A943D6" w:rsidRPr="00E92786" w:rsidRDefault="00A943D6" w:rsidP="00A943D6">
      <w:pPr>
        <w:pStyle w:val="paragraph"/>
        <w:spacing w:before="0" w:beforeAutospacing="0" w:after="0" w:afterAutospacing="0"/>
        <w:textAlignment w:val="baseline"/>
        <w:rPr>
          <w:rFonts w:ascii="Verdana" w:hAnsi="Verdana" w:cs="Segoe UI"/>
          <w:sz w:val="18"/>
          <w:szCs w:val="18"/>
        </w:rPr>
      </w:pPr>
      <w:r w:rsidRPr="00AF3BF5">
        <w:rPr>
          <w:rFonts w:ascii="Verdana" w:hAnsi="Verdana"/>
        </w:rPr>
        <w:t> </w:t>
      </w:r>
    </w:p>
    <w:p w14:paraId="7466F147"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Another example of where a securitised agreement could be enforced is where a pawnbroker has lent to a consumer and taken a security in “pledge”. Subsequently, where the borrower fails to repay, the lender then takes steps to enforce the agreement by selling the pledge.</w:t>
      </w:r>
      <w:r>
        <w:rPr>
          <w:rStyle w:val="eop"/>
          <w:rFonts w:ascii="Verdana" w:hAnsi="Verdana" w:cs="Segoe UI"/>
          <w:sz w:val="18"/>
          <w:szCs w:val="18"/>
        </w:rPr>
        <w:t> </w:t>
      </w:r>
    </w:p>
    <w:p w14:paraId="2C4320F6"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26545410" w14:textId="77777777" w:rsidR="00A943D6" w:rsidRPr="00AF3BF5" w:rsidRDefault="00A943D6" w:rsidP="00A943D6">
      <w:pPr>
        <w:pStyle w:val="paragraph"/>
        <w:spacing w:before="0" w:beforeAutospacing="0" w:after="0" w:afterAutospacing="0"/>
        <w:ind w:left="-1710" w:right="720"/>
        <w:textAlignment w:val="baseline"/>
        <w:rPr>
          <w:rFonts w:ascii="Verdana" w:hAnsi="Verdana"/>
        </w:rPr>
      </w:pPr>
      <w:r>
        <w:rPr>
          <w:rStyle w:val="normaltextrun"/>
          <w:rFonts w:ascii="Verdana" w:hAnsi="Verdana" w:cs="Segoe UI"/>
          <w:sz w:val="18"/>
          <w:szCs w:val="18"/>
        </w:rPr>
        <w:t>Where a lender has entered into consumer credit agreements that are unenforceable against borrowers, the firm cannot take steps such as those outlined above unless a VO is granted to them by the FCA.</w:t>
      </w:r>
      <w:r>
        <w:rPr>
          <w:rStyle w:val="eop"/>
          <w:rFonts w:ascii="Verdana" w:hAnsi="Verdana" w:cs="Segoe UI"/>
          <w:sz w:val="18"/>
          <w:szCs w:val="18"/>
        </w:rPr>
        <w:t> </w:t>
      </w:r>
    </w:p>
    <w:p w14:paraId="0C29A35C" w14:textId="77777777" w:rsidR="00A943D6" w:rsidRPr="004874FB" w:rsidRDefault="00A943D6" w:rsidP="00A943D6">
      <w:pPr>
        <w:pStyle w:val="Qsheading1"/>
        <w:ind w:left="-1701" w:right="731"/>
        <w:rPr>
          <w:rFonts w:ascii="Verdana" w:hAnsi="Verdana"/>
        </w:rPr>
      </w:pPr>
      <w:r w:rsidRPr="004874FB">
        <w:rPr>
          <w:rFonts w:ascii="Verdana" w:hAnsi="Verdana"/>
        </w:rPr>
        <w:t>Agreements entered into on or after 1 April 2014</w:t>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p>
    <w:p w14:paraId="346CC715" w14:textId="77777777" w:rsidR="00A943D6" w:rsidRPr="004874FB" w:rsidRDefault="00A943D6" w:rsidP="00A943D6">
      <w:pPr>
        <w:pStyle w:val="Questionnote"/>
        <w:ind w:left="-1701"/>
        <w:rPr>
          <w:rFonts w:ascii="Verdana" w:hAnsi="Verdana"/>
        </w:rPr>
      </w:pPr>
      <w:r w:rsidRPr="004874FB">
        <w:rPr>
          <w:rFonts w:ascii="Verdana" w:hAnsi="Verdana"/>
        </w:rPr>
        <w:t>For agreements entered into on or after 1 April 2014 a new regime applies for the purposes of ‘validating’ agreements. This is set out in Part II of the Financial Services and Markets Act 2000 (FSMA). Unlike the CCA regime, it applies only to regulated credit agreements (and not consumer hire or ancillary service contracts).</w:t>
      </w:r>
    </w:p>
    <w:p w14:paraId="4C1E2F1E" w14:textId="77777777" w:rsidR="00A943D6" w:rsidRPr="004874FB" w:rsidRDefault="00A943D6" w:rsidP="00A943D6">
      <w:pPr>
        <w:pStyle w:val="Questionnote"/>
        <w:ind w:left="-1701"/>
        <w:rPr>
          <w:rFonts w:ascii="Verdana" w:hAnsi="Verdana"/>
        </w:rPr>
      </w:pPr>
    </w:p>
    <w:p w14:paraId="3D027E78" w14:textId="77777777" w:rsidR="00A943D6" w:rsidRPr="004874FB" w:rsidRDefault="00A943D6" w:rsidP="00A943D6">
      <w:pPr>
        <w:pStyle w:val="Questionnote"/>
        <w:ind w:left="-1701"/>
        <w:rPr>
          <w:rFonts w:ascii="Verdana" w:hAnsi="Verdana"/>
        </w:rPr>
      </w:pPr>
      <w:r w:rsidRPr="004874FB">
        <w:rPr>
          <w:rFonts w:ascii="Verdana" w:hAnsi="Verdana"/>
        </w:rPr>
        <w:t>A credit agreement may be unenforceable:</w:t>
      </w:r>
    </w:p>
    <w:p w14:paraId="23BAA301"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under section 26 FSMA, because the lender was not authorised and so was contravening the general prohibition under section 19; or</w:t>
      </w:r>
    </w:p>
    <w:p w14:paraId="4A0C15EF"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under section 26A FSMA, because the lender was authorised but did not have the correct permission and so was contravening section 20; or</w:t>
      </w:r>
    </w:p>
    <w:p w14:paraId="4CB250FC"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E92786">
        <w:rPr>
          <w:rFonts w:ascii="Verdana" w:hAnsi="Verdana"/>
          <w:sz w:val="18"/>
          <w:szCs w:val="18"/>
        </w:rPr>
        <w:t>under section 27 FSMA, because although the lender was authorised, with the correct permission, the agreement was made in consequence of something said or done by a third party (typically a credit broker) who was</w:t>
      </w:r>
      <w:r>
        <w:rPr>
          <w:rFonts w:ascii="Verdana" w:hAnsi="Verdana"/>
          <w:sz w:val="18"/>
          <w:szCs w:val="18"/>
        </w:rPr>
        <w:t>;</w:t>
      </w:r>
    </w:p>
    <w:p w14:paraId="6FD9A13F" w14:textId="77777777" w:rsidR="00A943D6" w:rsidRPr="00E92786" w:rsidRDefault="00A943D6" w:rsidP="00A943D6">
      <w:pPr>
        <w:pStyle w:val="ListParagraph"/>
        <w:numPr>
          <w:ilvl w:val="1"/>
          <w:numId w:val="11"/>
        </w:numPr>
        <w:spacing w:before="0" w:after="120" w:line="240" w:lineRule="auto"/>
        <w:ind w:right="731"/>
        <w:contextualSpacing/>
        <w:rPr>
          <w:rFonts w:ascii="Verdana" w:hAnsi="Verdana"/>
          <w:sz w:val="18"/>
          <w:szCs w:val="18"/>
        </w:rPr>
      </w:pPr>
      <w:r w:rsidRPr="00E92786">
        <w:rPr>
          <w:rFonts w:ascii="Verdana" w:hAnsi="Verdana"/>
          <w:sz w:val="18"/>
          <w:szCs w:val="18"/>
        </w:rPr>
        <w:t>not authorised or not exempt under s.39 and so was contravening the general prohibition under section 19 </w:t>
      </w:r>
    </w:p>
    <w:p w14:paraId="0B0BD597" w14:textId="77777777" w:rsidR="00A943D6" w:rsidRPr="00E92786" w:rsidRDefault="00A943D6" w:rsidP="00A943D6">
      <w:pPr>
        <w:pStyle w:val="ListParagraph"/>
        <w:numPr>
          <w:ilvl w:val="1"/>
          <w:numId w:val="11"/>
        </w:numPr>
        <w:spacing w:before="0" w:after="120" w:line="240" w:lineRule="auto"/>
        <w:ind w:right="731"/>
        <w:contextualSpacing/>
        <w:rPr>
          <w:rFonts w:ascii="Verdana" w:hAnsi="Verdana"/>
          <w:sz w:val="18"/>
          <w:szCs w:val="18"/>
        </w:rPr>
      </w:pPr>
      <w:r w:rsidRPr="00E92786">
        <w:rPr>
          <w:rFonts w:ascii="Verdana" w:hAnsi="Verdana"/>
          <w:sz w:val="18"/>
          <w:szCs w:val="18"/>
        </w:rPr>
        <w:t>authorised but was carrying out a credit-related regulated activity (as defined for these purposes) in breach of section 20.  </w:t>
      </w:r>
    </w:p>
    <w:p w14:paraId="600DC451" w14:textId="77777777" w:rsidR="00A943D6" w:rsidRPr="00F9248E" w:rsidRDefault="00A943D6" w:rsidP="00A943D6">
      <w:pPr>
        <w:pStyle w:val="ListParagraph"/>
        <w:spacing w:before="0" w:after="120" w:line="240" w:lineRule="auto"/>
        <w:ind w:left="-1341" w:right="731"/>
        <w:contextualSpacing/>
        <w:rPr>
          <w:rFonts w:ascii="Verdana" w:hAnsi="Verdana"/>
          <w:sz w:val="18"/>
          <w:szCs w:val="18"/>
        </w:rPr>
      </w:pPr>
    </w:p>
    <w:p w14:paraId="0B3135B0" w14:textId="77777777" w:rsidR="00A943D6" w:rsidRPr="004874FB" w:rsidRDefault="00A943D6" w:rsidP="00A943D6">
      <w:pPr>
        <w:pStyle w:val="Questionnote"/>
        <w:ind w:left="-1701"/>
        <w:rPr>
          <w:rFonts w:ascii="Verdana" w:hAnsi="Verdana"/>
        </w:rPr>
      </w:pPr>
    </w:p>
    <w:p w14:paraId="79E567BE" w14:textId="77777777" w:rsidR="00A943D6" w:rsidRPr="004874FB" w:rsidRDefault="00A943D6" w:rsidP="00A943D6">
      <w:pPr>
        <w:pStyle w:val="Questionnote"/>
        <w:ind w:left="-1701"/>
        <w:rPr>
          <w:rFonts w:ascii="Verdana" w:hAnsi="Verdana"/>
        </w:rPr>
      </w:pPr>
      <w:r w:rsidRPr="004874FB">
        <w:rPr>
          <w:rFonts w:ascii="Verdana" w:hAnsi="Verdana"/>
        </w:rPr>
        <w:lastRenderedPageBreak/>
        <w:t xml:space="preserve">The </w:t>
      </w:r>
      <w:r w:rsidRPr="001B7D78">
        <w:rPr>
          <w:rFonts w:ascii="Verdana" w:hAnsi="Verdana"/>
        </w:rPr>
        <w:t>legislation refers to a ‘credit-related regulated activity’ but this is limited in this framework to lending (article 60B</w:t>
      </w:r>
      <w:r w:rsidRPr="001B7D78">
        <w:rPr>
          <w:rFonts w:ascii="Verdana" w:hAnsi="Verdana"/>
        </w:rPr>
        <w:footnoteReference w:id="2"/>
      </w:r>
      <w:r w:rsidRPr="001B7D78">
        <w:rPr>
          <w:rFonts w:ascii="Verdana" w:hAnsi="Verdana"/>
        </w:rPr>
        <w:t xml:space="preserve"> of the Regulated Activities Order, RAO</w:t>
      </w:r>
      <w:r w:rsidRPr="001B7D78">
        <w:rPr>
          <w:rFonts w:ascii="Verdana" w:hAnsi="Verdana"/>
        </w:rPr>
        <w:footnoteReference w:id="3"/>
      </w:r>
      <w:r w:rsidRPr="001B7D78">
        <w:rPr>
          <w:rFonts w:ascii="Verdana" w:hAnsi="Verdana"/>
        </w:rPr>
        <w:t>) and certain debt-collecting (article 39F(1)</w:t>
      </w:r>
      <w:r w:rsidRPr="001B7D78">
        <w:rPr>
          <w:rFonts w:ascii="Verdana" w:hAnsi="Verdana"/>
        </w:rPr>
        <w:footnoteReference w:id="4"/>
      </w:r>
      <w:r w:rsidRPr="001B7D78">
        <w:rPr>
          <w:rFonts w:ascii="Verdana" w:hAnsi="Verdana"/>
        </w:rPr>
        <w:t xml:space="preserve"> of the RAO). It does not include credit broking under article 36A of the RAO, so if a broker was authorised but without the correct permission</w:t>
      </w:r>
      <w:r w:rsidRPr="001B7D78">
        <w:rPr>
          <w:rFonts w:ascii="Verdana" w:hAnsi="Verdana" w:cs="Segoe UI"/>
          <w:szCs w:val="18"/>
          <w:shd w:val="clear" w:color="auto" w:fill="FFFFFF"/>
        </w:rPr>
        <w:t xml:space="preserve"> </w:t>
      </w:r>
      <w:r w:rsidRPr="001B7D78">
        <w:rPr>
          <w:rStyle w:val="normaltextrun"/>
          <w:rFonts w:ascii="Verdana" w:hAnsi="Verdana" w:cs="Segoe UI"/>
          <w:szCs w:val="18"/>
          <w:shd w:val="clear" w:color="auto" w:fill="FFFFFF"/>
        </w:rPr>
        <w:t>(ie did not have permission to carry on credit broking</w:t>
      </w:r>
      <w:r w:rsidRPr="001B7D78">
        <w:rPr>
          <w:rStyle w:val="normaltextrun"/>
          <w:rFonts w:ascii="Verdana" w:hAnsi="Verdana" w:cs="Segoe UI"/>
          <w:szCs w:val="18"/>
          <w:u w:val="single"/>
          <w:shd w:val="clear" w:color="auto" w:fill="FFFFFF"/>
        </w:rPr>
        <w:t>)</w:t>
      </w:r>
      <w:r w:rsidRPr="001B7D78">
        <w:rPr>
          <w:rFonts w:ascii="Verdana" w:hAnsi="Verdana"/>
        </w:rPr>
        <w:t>, this does not make any resultant credit agreement unenforceable and so requiring validation.</w:t>
      </w:r>
    </w:p>
    <w:p w14:paraId="70C9D6D0" w14:textId="77777777" w:rsidR="00A943D6" w:rsidRPr="004874FB" w:rsidRDefault="00A943D6" w:rsidP="00A943D6">
      <w:pPr>
        <w:pStyle w:val="Questionnote"/>
        <w:ind w:left="-1701"/>
        <w:rPr>
          <w:rFonts w:ascii="Verdana" w:hAnsi="Verdana"/>
        </w:rPr>
      </w:pPr>
    </w:p>
    <w:p w14:paraId="0A42CDE5" w14:textId="77777777" w:rsidR="00A943D6" w:rsidRPr="004874FB" w:rsidRDefault="00A943D6" w:rsidP="00A943D6">
      <w:pPr>
        <w:pStyle w:val="Questionnote"/>
        <w:ind w:left="-1701"/>
        <w:rPr>
          <w:rFonts w:ascii="Verdana" w:hAnsi="Verdana"/>
        </w:rPr>
      </w:pPr>
      <w:r w:rsidRPr="004874FB">
        <w:rPr>
          <w:rFonts w:ascii="Verdana" w:hAnsi="Verdana"/>
        </w:rPr>
        <w:t>In addition to agreements being unenforceable, the customer is entitled to recover:</w:t>
      </w:r>
    </w:p>
    <w:p w14:paraId="3FE1860F" w14:textId="77777777" w:rsidR="00A943D6" w:rsidRPr="00F9248E"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9248E">
        <w:rPr>
          <w:rFonts w:ascii="Verdana" w:hAnsi="Verdana"/>
          <w:sz w:val="18"/>
          <w:szCs w:val="18"/>
        </w:rPr>
        <w:t>any money or other property paid or transferred under the agreement, and</w:t>
      </w:r>
    </w:p>
    <w:p w14:paraId="49E0CC4F" w14:textId="77777777" w:rsidR="00A943D6" w:rsidRPr="00F9248E"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9248E">
        <w:rPr>
          <w:rFonts w:ascii="Verdana" w:hAnsi="Verdana"/>
          <w:sz w:val="18"/>
          <w:szCs w:val="18"/>
        </w:rPr>
        <w:t xml:space="preserve">compensation for any loss sustained as a result of having parted with it </w:t>
      </w:r>
    </w:p>
    <w:p w14:paraId="500ACAE4" w14:textId="77777777" w:rsidR="00A943D6" w:rsidRDefault="00A943D6" w:rsidP="00A943D6">
      <w:pPr>
        <w:pStyle w:val="ListParagraph"/>
        <w:spacing w:after="120" w:line="240" w:lineRule="auto"/>
        <w:ind w:left="-1701" w:right="731"/>
        <w:rPr>
          <w:rFonts w:ascii="Verdana" w:hAnsi="Verdana"/>
        </w:rPr>
      </w:pPr>
    </w:p>
    <w:p w14:paraId="49165EA6" w14:textId="77777777" w:rsidR="00A943D6" w:rsidRPr="004874FB" w:rsidRDefault="00A943D6" w:rsidP="00A943D6">
      <w:pPr>
        <w:pStyle w:val="Questionnote"/>
        <w:ind w:left="-1701"/>
        <w:rPr>
          <w:rFonts w:ascii="Verdana" w:hAnsi="Verdana"/>
        </w:rPr>
      </w:pPr>
      <w:r w:rsidRPr="004874FB">
        <w:rPr>
          <w:rFonts w:ascii="Verdana" w:hAnsi="Verdana"/>
        </w:rPr>
        <w:t>Section 28A provides that a firm can apply to the FCA to validate an agreement that was entered into in the course of carrying on a credit-related regulated activity and is unenforceable because of section 26, 26A or 27. The FCA can also, upon application, determine the amount of any compensation recoverable under those sections.</w:t>
      </w:r>
    </w:p>
    <w:p w14:paraId="7A39EDA1" w14:textId="77777777" w:rsidR="00A943D6" w:rsidRPr="004874FB" w:rsidRDefault="00A943D6" w:rsidP="00A943D6">
      <w:pPr>
        <w:pStyle w:val="Questionnote"/>
        <w:ind w:left="-1701"/>
        <w:rPr>
          <w:rFonts w:ascii="Verdana" w:hAnsi="Verdana"/>
        </w:rPr>
      </w:pPr>
    </w:p>
    <w:p w14:paraId="1B5E25D6" w14:textId="77777777" w:rsidR="00A943D6" w:rsidRPr="004874FB" w:rsidRDefault="00A943D6" w:rsidP="00A943D6">
      <w:pPr>
        <w:pStyle w:val="Questionnote"/>
        <w:ind w:left="-1701"/>
        <w:rPr>
          <w:rFonts w:ascii="Verdana" w:hAnsi="Verdana"/>
        </w:rPr>
      </w:pPr>
      <w:r w:rsidRPr="004874FB">
        <w:rPr>
          <w:rFonts w:ascii="Verdana" w:hAnsi="Verdana"/>
        </w:rPr>
        <w:t>If the FCA is satisfied that it is just and equitable in the circumstances of the case, it may by written notice to the applicant allow:</w:t>
      </w:r>
    </w:p>
    <w:p w14:paraId="05DE4F66" w14:textId="77777777" w:rsidR="00A943D6" w:rsidRPr="004874FB"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4874FB">
        <w:rPr>
          <w:rFonts w:ascii="Verdana" w:hAnsi="Verdana"/>
          <w:sz w:val="18"/>
          <w:szCs w:val="18"/>
        </w:rPr>
        <w:t>the agreement to be enforced, and/or</w:t>
      </w:r>
    </w:p>
    <w:p w14:paraId="3C98A890" w14:textId="77777777" w:rsidR="00A943D6" w:rsidRPr="004874FB"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4874FB">
        <w:rPr>
          <w:rFonts w:ascii="Verdana" w:hAnsi="Verdana"/>
          <w:sz w:val="18"/>
          <w:szCs w:val="18"/>
        </w:rPr>
        <w:t>money paid or property transferred under the agreement to be retained</w:t>
      </w:r>
    </w:p>
    <w:p w14:paraId="4787721B" w14:textId="77777777" w:rsidR="00A943D6" w:rsidRDefault="00A943D6" w:rsidP="00A943D6">
      <w:pPr>
        <w:pStyle w:val="ListParagraph"/>
        <w:spacing w:after="120" w:line="240" w:lineRule="auto"/>
        <w:ind w:left="-1701" w:right="731"/>
        <w:rPr>
          <w:rFonts w:ascii="Verdana" w:hAnsi="Verdana"/>
        </w:rPr>
      </w:pPr>
    </w:p>
    <w:p w14:paraId="32314ED3" w14:textId="77777777" w:rsidR="00A943D6" w:rsidRPr="004874FB" w:rsidRDefault="00A943D6" w:rsidP="00A943D6">
      <w:pPr>
        <w:pStyle w:val="Questionnote"/>
        <w:ind w:left="-1701"/>
        <w:rPr>
          <w:rFonts w:ascii="Verdana" w:hAnsi="Verdana"/>
        </w:rPr>
      </w:pPr>
      <w:r w:rsidRPr="004874FB">
        <w:rPr>
          <w:rFonts w:ascii="Verdana" w:hAnsi="Verdana"/>
        </w:rPr>
        <w:t>We refer to this as a ‘validation order’ although this term is not used in FSMA.</w:t>
      </w:r>
    </w:p>
    <w:p w14:paraId="28A9C667" w14:textId="77777777" w:rsidR="00A943D6" w:rsidRPr="004874FB" w:rsidRDefault="00A943D6" w:rsidP="00A943D6">
      <w:pPr>
        <w:pStyle w:val="Questionnote"/>
        <w:ind w:left="-1701"/>
        <w:rPr>
          <w:rFonts w:ascii="Verdana" w:hAnsi="Verdana"/>
        </w:rPr>
      </w:pPr>
    </w:p>
    <w:p w14:paraId="142D176A" w14:textId="77777777" w:rsidR="00A943D6" w:rsidRPr="004874FB" w:rsidRDefault="00A943D6" w:rsidP="00A943D6">
      <w:pPr>
        <w:pStyle w:val="Questionnote"/>
        <w:ind w:left="-1701"/>
        <w:rPr>
          <w:rFonts w:ascii="Verdana" w:hAnsi="Verdana"/>
        </w:rPr>
      </w:pPr>
      <w:r w:rsidRPr="3343DCB2">
        <w:rPr>
          <w:rFonts w:ascii="Verdana" w:hAnsi="Verdana"/>
        </w:rPr>
        <w:t>The FCA may, if it thinks fit, limit a validation order to specified agreements, or agreements of a specified description and/or made at a specified time. It can also make the order conditional on the doing of specified acts by the applicant.</w:t>
      </w:r>
    </w:p>
    <w:p w14:paraId="20E8079D" w14:textId="77777777" w:rsidR="00A943D6" w:rsidRPr="004874FB" w:rsidRDefault="00A943D6" w:rsidP="00A943D6">
      <w:pPr>
        <w:pStyle w:val="Questionnote"/>
        <w:ind w:left="-1701"/>
        <w:rPr>
          <w:rFonts w:ascii="Verdana" w:hAnsi="Verdana"/>
        </w:rPr>
      </w:pPr>
    </w:p>
    <w:p w14:paraId="0078DE2B" w14:textId="77777777" w:rsidR="00A943D6" w:rsidRPr="004874FB" w:rsidRDefault="00A943D6" w:rsidP="00A943D6">
      <w:pPr>
        <w:pStyle w:val="Questionnote"/>
        <w:ind w:left="-1701"/>
        <w:rPr>
          <w:rFonts w:ascii="Verdana" w:hAnsi="Verdana"/>
        </w:rPr>
      </w:pPr>
      <w:r w:rsidRPr="004874FB">
        <w:rPr>
          <w:rFonts w:ascii="Verdana" w:hAnsi="Verdana"/>
        </w:rPr>
        <w:t>There is a separate process under section 28 FSMA enabling a firm to apply to the court to validate agreements which are unenforceable because of section 26 or 27 but were not entered into in the course of carrying on a credit-related regulated activity. This would include consumer hire agreements.</w:t>
      </w:r>
    </w:p>
    <w:p w14:paraId="37EFB9B7" w14:textId="77777777" w:rsidR="00A943D6" w:rsidRPr="004874FB" w:rsidRDefault="00A943D6" w:rsidP="00A943D6">
      <w:pPr>
        <w:pStyle w:val="Qsheading1"/>
        <w:ind w:left="-1701" w:right="731"/>
        <w:rPr>
          <w:rFonts w:ascii="Verdana" w:hAnsi="Verdana"/>
        </w:rPr>
      </w:pPr>
      <w:r w:rsidRPr="004874FB">
        <w:rPr>
          <w:rFonts w:ascii="Verdana" w:hAnsi="Verdana"/>
        </w:rPr>
        <w:t>Agreements entered into before 1 April 2014</w:t>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p>
    <w:p w14:paraId="02B46DC3" w14:textId="77777777" w:rsidR="00A943D6" w:rsidRDefault="00A943D6" w:rsidP="00A943D6">
      <w:pPr>
        <w:pStyle w:val="Questionnote"/>
        <w:ind w:left="-1701"/>
        <w:rPr>
          <w:rFonts w:ascii="Verdana" w:hAnsi="Verdana"/>
        </w:rPr>
      </w:pPr>
      <w:r w:rsidRPr="004874FB">
        <w:rPr>
          <w:rFonts w:ascii="Verdana" w:hAnsi="Verdana"/>
        </w:rPr>
        <w:t xml:space="preserve">For agreements entered into before 1 April 2014, a modified regime applies. </w:t>
      </w:r>
      <w:r>
        <w:rPr>
          <w:rStyle w:val="normaltextrun"/>
          <w:rFonts w:ascii="Verdana" w:hAnsi="Verdana"/>
          <w:color w:val="000000"/>
          <w:szCs w:val="18"/>
        </w:rPr>
        <w:t xml:space="preserve">This regime </w:t>
      </w:r>
      <w:r>
        <w:rPr>
          <w:rStyle w:val="normaltextrun"/>
          <w:rFonts w:ascii="Verdana" w:hAnsi="Verdana"/>
          <w:color w:val="000000"/>
          <w:szCs w:val="18"/>
          <w:shd w:val="clear" w:color="auto" w:fill="FFFFFF"/>
        </w:rPr>
        <w:t>is not limited to credit agreements (it also includes consumer hire agreements and ancillary service contracts).</w:t>
      </w:r>
      <w:r w:rsidRPr="004874FB">
        <w:rPr>
          <w:rFonts w:ascii="Verdana" w:hAnsi="Verdana"/>
        </w:rPr>
        <w:t>). In addition, under this regime (unlike under section 28A of FSMA), unenforceability can arise if the credit broker was licensed but not for credit broking.</w:t>
      </w:r>
    </w:p>
    <w:p w14:paraId="5EE38D55" w14:textId="77777777" w:rsidR="00A943D6" w:rsidRPr="004874FB" w:rsidRDefault="00A943D6" w:rsidP="00A943D6">
      <w:pPr>
        <w:pStyle w:val="Questionnote"/>
        <w:ind w:left="-1701"/>
        <w:rPr>
          <w:rFonts w:ascii="Verdana" w:hAnsi="Verdana"/>
        </w:rPr>
      </w:pPr>
    </w:p>
    <w:p w14:paraId="5AB1D843" w14:textId="77777777" w:rsidR="00A943D6" w:rsidRDefault="00A943D6" w:rsidP="00A943D6">
      <w:pPr>
        <w:pStyle w:val="Questionnote"/>
        <w:ind w:left="-1701"/>
        <w:rPr>
          <w:rFonts w:ascii="Verdana" w:hAnsi="Verdana"/>
        </w:rPr>
      </w:pPr>
      <w:r w:rsidRPr="53A4BBC5">
        <w:rPr>
          <w:rFonts w:ascii="Verdana" w:hAnsi="Verdana"/>
        </w:rPr>
        <w:t>There is a separate application form in respect of pre-April 2014 agreements. If a firm has agreements which are unenforceable, some of which were entered into before 1 April 2014, and some on or after that date, both forms will need to be submitted. (Please refer to the fees section below to understand how this may impact the fee payable).</w:t>
      </w:r>
    </w:p>
    <w:p w14:paraId="73C25FC6" w14:textId="77777777" w:rsidR="00A943D6" w:rsidRPr="004874FB" w:rsidRDefault="00A943D6" w:rsidP="00A943D6">
      <w:pPr>
        <w:pStyle w:val="Questionnote"/>
        <w:ind w:left="-1701"/>
        <w:rPr>
          <w:rFonts w:ascii="Verdana" w:hAnsi="Verdana"/>
        </w:rPr>
      </w:pPr>
    </w:p>
    <w:p w14:paraId="02E11C2E" w14:textId="77777777" w:rsidR="00A943D6" w:rsidRPr="004874FB" w:rsidRDefault="00A943D6" w:rsidP="00A943D6">
      <w:pPr>
        <w:pStyle w:val="Questionnote"/>
        <w:ind w:left="-1701"/>
        <w:rPr>
          <w:rFonts w:ascii="Verdana" w:hAnsi="Verdana"/>
        </w:rPr>
      </w:pPr>
      <w:r w:rsidRPr="004874FB">
        <w:rPr>
          <w:rFonts w:ascii="Verdana" w:hAnsi="Verdana"/>
        </w:rPr>
        <w:t>In determining whether to grant a validation order, the FSMA test will apply and we can only grant an order if we consider it would be just and equitable to do so.</w:t>
      </w:r>
      <w:r>
        <w:rPr>
          <w:rFonts w:ascii="Verdana" w:hAnsi="Verdana"/>
        </w:rPr>
        <w:t xml:space="preserve"> As above, t</w:t>
      </w:r>
      <w:r w:rsidRPr="3343DCB2">
        <w:rPr>
          <w:rFonts w:ascii="Verdana" w:hAnsi="Verdana"/>
        </w:rPr>
        <w:t xml:space="preserve">he FCA may, if it thinks fit, limit a validation order to specified agreements, or agreements of a specified </w:t>
      </w:r>
      <w:r w:rsidRPr="3343DCB2">
        <w:rPr>
          <w:rFonts w:ascii="Verdana" w:hAnsi="Verdana"/>
        </w:rPr>
        <w:lastRenderedPageBreak/>
        <w:t>description and/or made at a specified time. It can also make the order conditional on the doing of specified acts by the applicant.</w:t>
      </w:r>
    </w:p>
    <w:p w14:paraId="1102BDE5" w14:textId="77777777" w:rsidR="00A943D6" w:rsidRDefault="00A943D6" w:rsidP="00A943D6">
      <w:pPr>
        <w:pStyle w:val="Questionnote"/>
        <w:ind w:left="-1701"/>
        <w:rPr>
          <w:rFonts w:ascii="Verdana" w:hAnsi="Verdana"/>
        </w:rPr>
      </w:pPr>
    </w:p>
    <w:p w14:paraId="313BC1FA" w14:textId="77777777" w:rsidR="00A943D6" w:rsidRPr="004874FB" w:rsidRDefault="00A943D6" w:rsidP="00A943D6">
      <w:pPr>
        <w:pStyle w:val="Questionnote"/>
        <w:ind w:left="-1701"/>
        <w:rPr>
          <w:rFonts w:ascii="Verdana" w:hAnsi="Verdana"/>
        </w:rPr>
      </w:pPr>
    </w:p>
    <w:p w14:paraId="5C8D5EBF" w14:textId="77777777" w:rsidR="00A943D6" w:rsidRPr="004874FB" w:rsidRDefault="00A943D6" w:rsidP="00A943D6">
      <w:pPr>
        <w:pStyle w:val="Questionnote"/>
        <w:ind w:left="-1701"/>
        <w:rPr>
          <w:rFonts w:ascii="Verdana" w:hAnsi="Verdana"/>
        </w:rPr>
      </w:pPr>
      <w:r w:rsidRPr="004874FB">
        <w:rPr>
          <w:rFonts w:ascii="Verdana" w:hAnsi="Verdana"/>
        </w:rPr>
        <w:t>For agreements entered into before 1 April 2014, the customer has no right to recover monies paid or property transferred under the agreement, or compensation for loss.</w:t>
      </w:r>
    </w:p>
    <w:p w14:paraId="3678B7CE" w14:textId="77777777" w:rsidR="00A943D6" w:rsidRPr="004874FB" w:rsidRDefault="00A943D6" w:rsidP="00A943D6">
      <w:pPr>
        <w:pStyle w:val="Qsheading1"/>
        <w:ind w:left="-1701" w:right="731"/>
        <w:rPr>
          <w:rFonts w:ascii="Verdana" w:hAnsi="Verdana"/>
        </w:rPr>
      </w:pPr>
      <w:r w:rsidRPr="004874FB">
        <w:rPr>
          <w:rFonts w:ascii="Verdana" w:hAnsi="Verdana"/>
        </w:rPr>
        <w:t>Qualifying criteria</w:t>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p>
    <w:p w14:paraId="50301B53" w14:textId="77777777" w:rsidR="00A943D6" w:rsidRPr="004874FB" w:rsidRDefault="00A943D6" w:rsidP="00A943D6">
      <w:pPr>
        <w:pStyle w:val="Questionnote"/>
        <w:ind w:left="-1701"/>
        <w:rPr>
          <w:rFonts w:ascii="Verdana" w:hAnsi="Verdana"/>
        </w:rPr>
      </w:pPr>
      <w:r w:rsidRPr="004874FB">
        <w:rPr>
          <w:rFonts w:ascii="Verdana" w:hAnsi="Verdana"/>
        </w:rPr>
        <w:t xml:space="preserve">A firm can only apply to validate agreements if it is a ‘relevant firm’.  </w:t>
      </w:r>
    </w:p>
    <w:p w14:paraId="60950F8C" w14:textId="77777777" w:rsidR="00A943D6" w:rsidRPr="004874FB" w:rsidRDefault="00A943D6" w:rsidP="00A943D6">
      <w:pPr>
        <w:pStyle w:val="Questionnote"/>
        <w:ind w:left="-1701"/>
        <w:rPr>
          <w:rFonts w:ascii="Verdana" w:hAnsi="Verdana"/>
        </w:rPr>
      </w:pPr>
      <w:r w:rsidRPr="004874FB">
        <w:rPr>
          <w:rFonts w:ascii="Verdana" w:hAnsi="Verdana"/>
        </w:rPr>
        <w:t xml:space="preserve">For agreements entered into on or after 1 April 2014, </w:t>
      </w:r>
      <w:bookmarkStart w:id="0" w:name="_Hlk534379426"/>
      <w:r w:rsidRPr="004874FB">
        <w:rPr>
          <w:rFonts w:ascii="Verdana" w:hAnsi="Verdana"/>
        </w:rPr>
        <w:t>this means the lender – that is, the person who entered into the relevant agreements or a person to whom the lender’s rights under the agreements have been assigned</w:t>
      </w:r>
      <w:bookmarkEnd w:id="0"/>
      <w:r w:rsidRPr="004874FB">
        <w:rPr>
          <w:rFonts w:ascii="Verdana" w:hAnsi="Verdana"/>
        </w:rPr>
        <w:t>.</w:t>
      </w:r>
    </w:p>
    <w:p w14:paraId="51826A3D" w14:textId="77777777" w:rsidR="00A943D6" w:rsidRPr="004874FB" w:rsidRDefault="00A943D6" w:rsidP="00A943D6">
      <w:pPr>
        <w:pStyle w:val="Questionnote"/>
        <w:ind w:left="-1701"/>
        <w:rPr>
          <w:rFonts w:ascii="Verdana" w:hAnsi="Verdana"/>
        </w:rPr>
      </w:pPr>
      <w:r w:rsidRPr="004874FB">
        <w:rPr>
          <w:rFonts w:ascii="Verdana" w:hAnsi="Verdana"/>
        </w:rPr>
        <w:t>For agreements entered into before 1 April 2014, this means the lender or owner or other person who would be entitled to enforce the relevant agreements.</w:t>
      </w:r>
    </w:p>
    <w:p w14:paraId="13329415" w14:textId="77777777" w:rsidR="00A943D6" w:rsidRPr="00AF3BF5" w:rsidRDefault="00A943D6" w:rsidP="00A943D6">
      <w:pPr>
        <w:pStyle w:val="Qsheading1"/>
        <w:ind w:left="-1701" w:right="731"/>
        <w:rPr>
          <w:rFonts w:ascii="Verdana" w:hAnsi="Verdana"/>
        </w:rPr>
      </w:pPr>
      <w:r w:rsidRPr="00AF3BF5">
        <w:rPr>
          <w:rFonts w:ascii="Verdana" w:hAnsi="Verdana"/>
        </w:rPr>
        <w:t>Application forms</w:t>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p>
    <w:p w14:paraId="1667AF04" w14:textId="77777777" w:rsidR="00A943D6" w:rsidRPr="004874FB" w:rsidRDefault="00A943D6" w:rsidP="00A943D6">
      <w:pPr>
        <w:pStyle w:val="Questionnote"/>
        <w:ind w:left="-1701"/>
        <w:rPr>
          <w:rFonts w:ascii="Verdana" w:hAnsi="Verdana"/>
        </w:rPr>
      </w:pPr>
      <w:r w:rsidRPr="004874FB">
        <w:rPr>
          <w:rFonts w:ascii="Verdana" w:hAnsi="Verdana"/>
        </w:rPr>
        <w:t>There are separate application forms for agreements pre- and post-1 April 2014.</w:t>
      </w:r>
    </w:p>
    <w:p w14:paraId="22B1E793" w14:textId="77777777" w:rsidR="00A943D6" w:rsidRPr="00490895" w:rsidRDefault="00A943D6" w:rsidP="00A943D6">
      <w:pPr>
        <w:spacing w:after="120" w:line="240" w:lineRule="auto"/>
        <w:ind w:left="-1701" w:right="731"/>
        <w:rPr>
          <w:rFonts w:ascii="Verdana" w:hAnsi="Verdana"/>
          <w:sz w:val="18"/>
          <w:szCs w:val="18"/>
        </w:rPr>
      </w:pPr>
      <w:r>
        <w:rPr>
          <w:rFonts w:ascii="Verdana" w:hAnsi="Verdana"/>
          <w:sz w:val="18"/>
          <w:szCs w:val="18"/>
        </w:rPr>
        <w:t xml:space="preserve">Pre 1 April 2014 - </w:t>
      </w:r>
      <w:hyperlink r:id="rId15" w:history="1">
        <w:r w:rsidRPr="009408B3">
          <w:rPr>
            <w:rStyle w:val="Hyperlink"/>
            <w:rFonts w:ascii="Verdana" w:hAnsi="Verdana"/>
            <w:sz w:val="18"/>
            <w:szCs w:val="18"/>
          </w:rPr>
          <w:t>https://www.fca.org.uk/publication/forms/cc-validation-order-form-pre.docx</w:t>
        </w:r>
      </w:hyperlink>
    </w:p>
    <w:p w14:paraId="1E0DB1F2" w14:textId="77777777" w:rsidR="00A943D6" w:rsidRDefault="00A943D6" w:rsidP="00A943D6">
      <w:pPr>
        <w:spacing w:after="120" w:line="240" w:lineRule="auto"/>
        <w:ind w:left="-1701" w:right="731"/>
        <w:rPr>
          <w:rFonts w:ascii="Verdana" w:eastAsia="MS Mincho" w:hAnsi="Verdana" w:cs="Arial"/>
          <w:sz w:val="18"/>
          <w:szCs w:val="18"/>
          <w:lang w:val="en"/>
        </w:rPr>
      </w:pPr>
      <w:r w:rsidRPr="00490895">
        <w:rPr>
          <w:rFonts w:ascii="Verdana" w:eastAsia="MS Mincho" w:hAnsi="Verdana" w:cs="Arial"/>
          <w:sz w:val="18"/>
          <w:szCs w:val="18"/>
          <w:lang w:val="en"/>
        </w:rPr>
        <w:t xml:space="preserve">Post 1 April 2014 </w:t>
      </w:r>
      <w:hyperlink r:id="rId16" w:history="1">
        <w:r w:rsidRPr="009408B3">
          <w:rPr>
            <w:rStyle w:val="Hyperlink"/>
            <w:rFonts w:ascii="Verdana" w:eastAsia="MS Mincho" w:hAnsi="Verdana" w:cs="Arial"/>
            <w:sz w:val="18"/>
            <w:szCs w:val="18"/>
            <w:lang w:val="en"/>
          </w:rPr>
          <w:t>https://www.fca.org.uk/publication/forms/cc-validation-order-form-post.docx</w:t>
        </w:r>
      </w:hyperlink>
      <w:r w:rsidRPr="00490895">
        <w:rPr>
          <w:rFonts w:ascii="Verdana" w:eastAsia="MS Mincho" w:hAnsi="Verdana" w:cs="Arial"/>
          <w:sz w:val="18"/>
          <w:szCs w:val="18"/>
          <w:lang w:val="en"/>
        </w:rPr>
        <w:t xml:space="preserve"> </w:t>
      </w:r>
    </w:p>
    <w:p w14:paraId="0E704598" w14:textId="77777777" w:rsidR="00A943D6" w:rsidRDefault="00A943D6" w:rsidP="00A943D6">
      <w:pPr>
        <w:spacing w:after="120" w:line="240" w:lineRule="auto"/>
        <w:ind w:left="-1701" w:right="731"/>
        <w:rPr>
          <w:rFonts w:ascii="Verdana" w:eastAsia="MS Mincho" w:hAnsi="Verdana" w:cs="Arial"/>
          <w:sz w:val="18"/>
          <w:szCs w:val="18"/>
          <w:lang w:val="en"/>
        </w:rPr>
      </w:pPr>
    </w:p>
    <w:p w14:paraId="042A7FEF"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sz w:val="18"/>
          <w:szCs w:val="18"/>
        </w:rPr>
      </w:pPr>
      <w:r>
        <w:rPr>
          <w:rStyle w:val="normaltextrun"/>
          <w:rFonts w:ascii="Verdana" w:hAnsi="Verdana" w:cs="Segoe UI"/>
          <w:sz w:val="18"/>
          <w:szCs w:val="18"/>
        </w:rPr>
        <w:t>The applicant firm must complete the application form in two stages. Applicants should complete sections 1-4 initially (‘Stage 1’) and submit those completed sections to the FCA. Once the FCA has confirmed in writing that the relevant agreements are unenforceable, and that the Authority has jurisdiction to determine the application, you should at that point go on to complete sections 5-7 (‘Stage 2’). At that stage, the applicant will be required to provide a detailed assessment of consumer harm, which will include the applicant conducting a consumer contact exercise. Before you undertake that exercise the Authority will review and provide input into your proposed questions to consumers (but always on the basis responsibility for ensuring the sufficiency of the exercise and wider harm assessment rests solely with the applicant).   </w:t>
      </w:r>
      <w:r>
        <w:rPr>
          <w:rStyle w:val="eop"/>
          <w:rFonts w:ascii="Verdana" w:hAnsi="Verdana" w:cs="Segoe UI"/>
          <w:sz w:val="18"/>
          <w:szCs w:val="18"/>
        </w:rPr>
        <w:t> </w:t>
      </w:r>
    </w:p>
    <w:p w14:paraId="6D7AB1A3" w14:textId="77777777" w:rsidR="00A943D6" w:rsidRPr="00E92786" w:rsidRDefault="00A943D6" w:rsidP="00A943D6">
      <w:pPr>
        <w:pStyle w:val="paragraph"/>
        <w:spacing w:before="0" w:beforeAutospacing="0" w:after="0" w:afterAutospacing="0"/>
        <w:ind w:left="-1710" w:right="720"/>
        <w:textAlignment w:val="baseline"/>
        <w:rPr>
          <w:rFonts w:ascii="Verdana" w:hAnsi="Verdana" w:cs="Segoe UI"/>
          <w:sz w:val="18"/>
          <w:szCs w:val="18"/>
        </w:rPr>
      </w:pPr>
    </w:p>
    <w:p w14:paraId="16FDB4CD" w14:textId="77777777" w:rsidR="00A943D6" w:rsidRDefault="00A943D6" w:rsidP="00A943D6">
      <w:pPr>
        <w:pStyle w:val="Questionnote"/>
        <w:ind w:left="-1701"/>
        <w:rPr>
          <w:rFonts w:ascii="Verdana" w:hAnsi="Verdana"/>
        </w:rPr>
      </w:pPr>
    </w:p>
    <w:p w14:paraId="1E0DD63F" w14:textId="77777777" w:rsidR="00A943D6" w:rsidRPr="00AF3BF5" w:rsidRDefault="00A943D6" w:rsidP="00A943D6">
      <w:pPr>
        <w:pStyle w:val="paragraph"/>
        <w:spacing w:before="0" w:beforeAutospacing="0" w:after="0" w:afterAutospacing="0"/>
        <w:ind w:left="-1710"/>
        <w:textAlignment w:val="baseline"/>
        <w:rPr>
          <w:rStyle w:val="eop"/>
          <w:rFonts w:ascii="Verdana" w:hAnsi="Verdana" w:cs="Segoe UI"/>
          <w:b/>
          <w:sz w:val="22"/>
          <w:szCs w:val="22"/>
        </w:rPr>
      </w:pPr>
      <w:r>
        <w:rPr>
          <w:rStyle w:val="normaltextrun"/>
          <w:rFonts w:ascii="Verdana" w:hAnsi="Verdana" w:cs="Segoe UI"/>
          <w:b/>
          <w:bCs/>
          <w:sz w:val="22"/>
          <w:szCs w:val="22"/>
        </w:rPr>
        <w:t>Overview of the application form  </w:t>
      </w:r>
      <w:r>
        <w:rPr>
          <w:rStyle w:val="eop"/>
          <w:rFonts w:ascii="Verdana" w:hAnsi="Verdana" w:cs="Segoe UI"/>
          <w:b/>
          <w:bCs/>
          <w:sz w:val="22"/>
          <w:szCs w:val="22"/>
        </w:rPr>
        <w:t> </w:t>
      </w:r>
    </w:p>
    <w:p w14:paraId="13E0E417" w14:textId="77777777" w:rsidR="00A943D6" w:rsidRPr="00AF3BF5" w:rsidRDefault="00A943D6" w:rsidP="00A943D6">
      <w:pPr>
        <w:pStyle w:val="paragraph"/>
        <w:spacing w:before="0" w:beforeAutospacing="0" w:after="0" w:afterAutospacing="0"/>
        <w:ind w:left="-1710"/>
        <w:textAlignment w:val="baseline"/>
        <w:rPr>
          <w:rFonts w:ascii="Verdana" w:hAnsi="Verdana" w:cs="Segoe UI"/>
          <w:b/>
          <w:bCs/>
          <w:sz w:val="18"/>
          <w:szCs w:val="18"/>
        </w:rPr>
      </w:pPr>
    </w:p>
    <w:p w14:paraId="359AF87C"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53A4BBC5">
        <w:rPr>
          <w:rStyle w:val="normaltextrun"/>
          <w:rFonts w:ascii="Verdana" w:hAnsi="Verdana" w:cs="Segoe UI"/>
          <w:sz w:val="18"/>
          <w:szCs w:val="18"/>
        </w:rPr>
        <w:t>The application forms for both the pre and post 1 April 2014 are comprised of two distinct stages, which (with a view to saving applicants time and cost) we ask that applicant firms complete these separately, submitting Stage 1 first and not submitting Stage 2 until invited to do so by the FCA.</w:t>
      </w:r>
      <w:r w:rsidRPr="53A4BBC5">
        <w:rPr>
          <w:rStyle w:val="eop"/>
          <w:rFonts w:ascii="Verdana" w:hAnsi="Verdana" w:cs="Segoe UI"/>
          <w:sz w:val="18"/>
          <w:szCs w:val="18"/>
        </w:rPr>
        <w:t> </w:t>
      </w:r>
    </w:p>
    <w:p w14:paraId="153B7462" w14:textId="77777777" w:rsidR="00A943D6" w:rsidRDefault="00A943D6" w:rsidP="00A943D6">
      <w:pPr>
        <w:pStyle w:val="paragraph"/>
        <w:spacing w:before="0" w:beforeAutospacing="0" w:after="0" w:afterAutospacing="0"/>
        <w:ind w:left="-1710" w:right="720"/>
        <w:rPr>
          <w:rStyle w:val="normaltextrun"/>
          <w:rFonts w:ascii="Verdana" w:hAnsi="Verdana" w:cs="Segoe UI"/>
          <w:sz w:val="18"/>
          <w:szCs w:val="18"/>
          <w:u w:val="single"/>
        </w:rPr>
      </w:pPr>
    </w:p>
    <w:p w14:paraId="24EC8415"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u w:val="single"/>
        </w:rPr>
        <w:t>Stage 1 - (Sections 1-4)</w:t>
      </w:r>
      <w:r>
        <w:rPr>
          <w:rStyle w:val="eop"/>
          <w:rFonts w:ascii="Verdana" w:hAnsi="Verdana" w:cs="Segoe UI"/>
          <w:sz w:val="18"/>
          <w:szCs w:val="18"/>
        </w:rPr>
        <w:t> </w:t>
      </w:r>
    </w:p>
    <w:p w14:paraId="2093E11D"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p>
    <w:p w14:paraId="642FD3F3"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Applicant firms should complete and submit sections 1-4 of the application form initially, providing all relevant evidence in support of the questions in sections 1 and 2.</w:t>
      </w:r>
      <w:r>
        <w:rPr>
          <w:rStyle w:val="eop"/>
          <w:rFonts w:ascii="Verdana" w:hAnsi="Verdana" w:cs="Segoe UI"/>
          <w:sz w:val="18"/>
          <w:szCs w:val="18"/>
        </w:rPr>
        <w:t> </w:t>
      </w:r>
    </w:p>
    <w:p w14:paraId="19E2F6E2"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Pr>
          <w:rFonts w:ascii="Verdana" w:hAnsi="Verdana"/>
          <w:sz w:val="18"/>
          <w:szCs w:val="18"/>
        </w:rPr>
        <w:t>Sections 1 and 2</w:t>
      </w:r>
      <w:r w:rsidRPr="00E92786">
        <w:rPr>
          <w:rFonts w:ascii="Verdana" w:hAnsi="Verdana"/>
          <w:sz w:val="18"/>
          <w:szCs w:val="18"/>
        </w:rPr>
        <w:t xml:space="preserve"> of each application form requests contact details, information on the agreements you wish to validate, evidence that the agreements are unenforceable, and one or more legal opinions (over which all claims to legal professional privilege are waived) that confirm various specific matters that (in effect) confirm that the FCA has jurisdiction to determine the VO application. </w:t>
      </w:r>
    </w:p>
    <w:p w14:paraId="3325FB44"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Pr>
          <w:rFonts w:ascii="Verdana" w:hAnsi="Verdana"/>
          <w:sz w:val="18"/>
          <w:szCs w:val="18"/>
        </w:rPr>
        <w:t>Section 3</w:t>
      </w:r>
      <w:r w:rsidRPr="00E92786">
        <w:rPr>
          <w:rFonts w:ascii="Verdana" w:hAnsi="Verdana"/>
          <w:sz w:val="18"/>
          <w:szCs w:val="18"/>
        </w:rPr>
        <w:t xml:space="preserve"> relates to </w:t>
      </w:r>
      <w:r>
        <w:rPr>
          <w:rFonts w:ascii="Verdana" w:hAnsi="Verdana"/>
          <w:sz w:val="18"/>
          <w:szCs w:val="18"/>
        </w:rPr>
        <w:t xml:space="preserve">the </w:t>
      </w:r>
      <w:r w:rsidRPr="00E92786">
        <w:rPr>
          <w:rFonts w:ascii="Verdana" w:hAnsi="Verdana"/>
          <w:sz w:val="18"/>
          <w:szCs w:val="18"/>
        </w:rPr>
        <w:t>application fees</w:t>
      </w:r>
      <w:r>
        <w:rPr>
          <w:rFonts w:ascii="Verdana" w:hAnsi="Verdana"/>
          <w:sz w:val="18"/>
          <w:szCs w:val="18"/>
        </w:rPr>
        <w:t xml:space="preserve"> for stage 1</w:t>
      </w:r>
      <w:r w:rsidRPr="00E92786">
        <w:rPr>
          <w:rFonts w:ascii="Verdana" w:hAnsi="Verdana"/>
          <w:sz w:val="18"/>
          <w:szCs w:val="18"/>
        </w:rPr>
        <w:t>. </w:t>
      </w:r>
    </w:p>
    <w:p w14:paraId="53253E43" w14:textId="77777777" w:rsidR="00A943D6" w:rsidRPr="00E92786" w:rsidRDefault="00A943D6" w:rsidP="00A943D6">
      <w:pPr>
        <w:pStyle w:val="ListParagraph"/>
        <w:numPr>
          <w:ilvl w:val="0"/>
          <w:numId w:val="11"/>
        </w:numPr>
        <w:spacing w:before="0" w:after="120" w:line="240" w:lineRule="auto"/>
        <w:ind w:right="731"/>
        <w:contextualSpacing/>
        <w:rPr>
          <w:rFonts w:ascii="Verdana" w:hAnsi="Verdana"/>
          <w:sz w:val="18"/>
          <w:szCs w:val="18"/>
        </w:rPr>
      </w:pPr>
      <w:r>
        <w:rPr>
          <w:rFonts w:ascii="Verdana" w:hAnsi="Verdana"/>
          <w:sz w:val="18"/>
          <w:szCs w:val="18"/>
        </w:rPr>
        <w:t>Section 4</w:t>
      </w:r>
      <w:r w:rsidRPr="00E92786">
        <w:rPr>
          <w:rFonts w:ascii="Verdana" w:hAnsi="Verdana"/>
          <w:sz w:val="18"/>
          <w:szCs w:val="18"/>
        </w:rPr>
        <w:t xml:space="preserve"> is the signature and declaration where an authorised person on behalf of the applicant firm must agree and sign in respect of Stage 1. </w:t>
      </w:r>
    </w:p>
    <w:p w14:paraId="56D27305"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sz w:val="18"/>
          <w:szCs w:val="18"/>
        </w:rPr>
      </w:pPr>
    </w:p>
    <w:p w14:paraId="6293691F"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4C34B017"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1C54366D"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65B8C5CB"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7C88E08C"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2A1B58F7"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7630CA2D"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48C9275E"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67F82746"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36079860"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5C6D5C96"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6A85CBCB"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29E81AC4" w14:textId="77777777" w:rsidR="00A943D6" w:rsidRPr="00AF3BF5"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485799E2" w14:textId="77777777" w:rsidR="00A943D6" w:rsidRPr="00E92786"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r w:rsidRPr="00E92786">
        <w:rPr>
          <w:rStyle w:val="normaltextrun"/>
          <w:rFonts w:ascii="Verdana" w:hAnsi="Verdana" w:cs="Segoe UI"/>
          <w:b/>
          <w:bCs/>
          <w:sz w:val="18"/>
          <w:szCs w:val="18"/>
        </w:rPr>
        <w:t>Question 2.3</w:t>
      </w:r>
    </w:p>
    <w:p w14:paraId="63B75448"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sz w:val="18"/>
          <w:szCs w:val="18"/>
        </w:rPr>
      </w:pPr>
      <w:r>
        <w:rPr>
          <w:rStyle w:val="normaltextrun"/>
          <w:rFonts w:ascii="Verdana" w:hAnsi="Verdana" w:cs="Segoe UI"/>
          <w:sz w:val="18"/>
          <w:szCs w:val="18"/>
        </w:rPr>
        <w:t xml:space="preserve">Below you can find an example of a table that you can use to complete Question 2.3 to detail the agreements you wish to validate. </w:t>
      </w:r>
    </w:p>
    <w:p w14:paraId="0B293E8D"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sz w:val="18"/>
          <w:szCs w:val="18"/>
        </w:rPr>
      </w:pPr>
    </w:p>
    <w:tbl>
      <w:tblPr>
        <w:tblW w:w="7803" w:type="dxa"/>
        <w:tblInd w:w="-1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998"/>
        <w:gridCol w:w="950"/>
        <w:gridCol w:w="924"/>
        <w:gridCol w:w="852"/>
        <w:gridCol w:w="817"/>
        <w:gridCol w:w="714"/>
        <w:gridCol w:w="587"/>
        <w:gridCol w:w="1046"/>
      </w:tblGrid>
      <w:tr w:rsidR="00A943D6" w:rsidRPr="004B6A42" w14:paraId="76B7B82D" w14:textId="77777777" w:rsidTr="002528D3">
        <w:trPr>
          <w:trHeight w:val="315"/>
        </w:trPr>
        <w:tc>
          <w:tcPr>
            <w:tcW w:w="7803" w:type="dxa"/>
            <w:gridSpan w:val="9"/>
            <w:tcBorders>
              <w:top w:val="single" w:sz="6" w:space="0" w:color="auto"/>
              <w:left w:val="single" w:sz="6" w:space="0" w:color="000000"/>
              <w:bottom w:val="single" w:sz="6" w:space="0" w:color="000000"/>
              <w:right w:val="single" w:sz="6" w:space="0" w:color="000000"/>
            </w:tcBorders>
            <w:shd w:val="clear" w:color="auto" w:fill="D0CECE"/>
            <w:hideMark/>
          </w:tcPr>
          <w:p w14:paraId="48516C62"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Loans unenforceable as a result of the lender being unauthorised, or lending without the correct permission </w:t>
            </w:r>
          </w:p>
        </w:tc>
      </w:tr>
      <w:tr w:rsidR="00A943D6" w:rsidRPr="00A54F8C" w14:paraId="3F8D0959" w14:textId="77777777" w:rsidTr="002528D3">
        <w:trPr>
          <w:trHeight w:val="81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121889E"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Name / type of agreement </w:t>
            </w:r>
          </w:p>
        </w:tc>
        <w:tc>
          <w:tcPr>
            <w:tcW w:w="998" w:type="dxa"/>
            <w:tcBorders>
              <w:top w:val="single" w:sz="6" w:space="0" w:color="auto"/>
              <w:left w:val="single" w:sz="6" w:space="0" w:color="auto"/>
              <w:bottom w:val="single" w:sz="6" w:space="0" w:color="auto"/>
              <w:right w:val="single" w:sz="6" w:space="0" w:color="auto"/>
            </w:tcBorders>
            <w:shd w:val="clear" w:color="auto" w:fill="auto"/>
            <w:hideMark/>
          </w:tcPr>
          <w:p w14:paraId="7E82C905"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Description of agreements </w:t>
            </w:r>
          </w:p>
        </w:tc>
        <w:tc>
          <w:tcPr>
            <w:tcW w:w="950" w:type="dxa"/>
            <w:tcBorders>
              <w:top w:val="single" w:sz="6" w:space="0" w:color="auto"/>
              <w:left w:val="single" w:sz="6" w:space="0" w:color="auto"/>
              <w:bottom w:val="single" w:sz="6" w:space="0" w:color="auto"/>
              <w:right w:val="single" w:sz="6" w:space="0" w:color="auto"/>
            </w:tcBorders>
            <w:shd w:val="clear" w:color="auto" w:fill="auto"/>
            <w:hideMark/>
          </w:tcPr>
          <w:p w14:paraId="7A66CAC9"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Number of agreements entered into </w:t>
            </w:r>
          </w:p>
        </w:tc>
        <w:tc>
          <w:tcPr>
            <w:tcW w:w="924" w:type="dxa"/>
            <w:tcBorders>
              <w:top w:val="single" w:sz="6" w:space="0" w:color="auto"/>
              <w:left w:val="single" w:sz="6" w:space="0" w:color="auto"/>
              <w:bottom w:val="single" w:sz="6" w:space="0" w:color="auto"/>
              <w:right w:val="single" w:sz="6" w:space="0" w:color="auto"/>
            </w:tcBorders>
            <w:shd w:val="clear" w:color="auto" w:fill="auto"/>
            <w:hideMark/>
          </w:tcPr>
          <w:p w14:paraId="547E8411"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Total number of customers </w:t>
            </w:r>
          </w:p>
        </w:tc>
        <w:tc>
          <w:tcPr>
            <w:tcW w:w="852" w:type="dxa"/>
            <w:tcBorders>
              <w:top w:val="single" w:sz="6" w:space="0" w:color="auto"/>
              <w:left w:val="single" w:sz="6" w:space="0" w:color="auto"/>
              <w:bottom w:val="single" w:sz="6" w:space="0" w:color="auto"/>
              <w:right w:val="single" w:sz="6" w:space="0" w:color="auto"/>
            </w:tcBorders>
            <w:shd w:val="clear" w:color="auto" w:fill="auto"/>
            <w:hideMark/>
          </w:tcPr>
          <w:p w14:paraId="149D748B"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Interest charged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778CAF57"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Additional charges </w:t>
            </w:r>
          </w:p>
        </w:tc>
        <w:tc>
          <w:tcPr>
            <w:tcW w:w="714" w:type="dxa"/>
            <w:tcBorders>
              <w:top w:val="single" w:sz="6" w:space="0" w:color="auto"/>
              <w:left w:val="single" w:sz="6" w:space="0" w:color="auto"/>
              <w:bottom w:val="single" w:sz="6" w:space="0" w:color="auto"/>
              <w:right w:val="single" w:sz="6" w:space="0" w:color="auto"/>
            </w:tcBorders>
            <w:shd w:val="clear" w:color="auto" w:fill="auto"/>
            <w:hideMark/>
          </w:tcPr>
          <w:p w14:paraId="6B2F9B4F"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Total value of credit  </w:t>
            </w:r>
          </w:p>
        </w:tc>
        <w:tc>
          <w:tcPr>
            <w:tcW w:w="587" w:type="dxa"/>
            <w:tcBorders>
              <w:top w:val="single" w:sz="6" w:space="0" w:color="auto"/>
              <w:left w:val="single" w:sz="6" w:space="0" w:color="auto"/>
              <w:bottom w:val="single" w:sz="6" w:space="0" w:color="auto"/>
              <w:right w:val="single" w:sz="6" w:space="0" w:color="auto"/>
            </w:tcBorders>
            <w:shd w:val="clear" w:color="auto" w:fill="auto"/>
            <w:hideMark/>
          </w:tcPr>
          <w:p w14:paraId="1C660589"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Total sums paid </w:t>
            </w:r>
          </w:p>
        </w:tc>
        <w:tc>
          <w:tcPr>
            <w:tcW w:w="1046" w:type="dxa"/>
            <w:tcBorders>
              <w:top w:val="single" w:sz="6" w:space="0" w:color="auto"/>
              <w:left w:val="single" w:sz="6" w:space="0" w:color="auto"/>
              <w:bottom w:val="single" w:sz="6" w:space="0" w:color="auto"/>
              <w:right w:val="single" w:sz="6" w:space="0" w:color="auto"/>
            </w:tcBorders>
            <w:shd w:val="clear" w:color="auto" w:fill="auto"/>
            <w:hideMark/>
          </w:tcPr>
          <w:p w14:paraId="10EF1889"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Number of live agreements  </w:t>
            </w:r>
          </w:p>
        </w:tc>
      </w:tr>
      <w:tr w:rsidR="00A943D6" w:rsidRPr="008E5ECF" w14:paraId="725093B4" w14:textId="77777777" w:rsidTr="002528D3">
        <w:trPr>
          <w:trHeight w:val="1155"/>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20AC8369"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998" w:type="dxa"/>
            <w:tcBorders>
              <w:top w:val="single" w:sz="6" w:space="0" w:color="auto"/>
              <w:left w:val="single" w:sz="6" w:space="0" w:color="auto"/>
              <w:bottom w:val="single" w:sz="6" w:space="0" w:color="auto"/>
              <w:right w:val="single" w:sz="6" w:space="0" w:color="auto"/>
            </w:tcBorders>
            <w:shd w:val="clear" w:color="auto" w:fill="auto"/>
            <w:hideMark/>
          </w:tcPr>
          <w:p w14:paraId="153A1216"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950" w:type="dxa"/>
            <w:tcBorders>
              <w:top w:val="single" w:sz="6" w:space="0" w:color="auto"/>
              <w:left w:val="single" w:sz="6" w:space="0" w:color="auto"/>
              <w:bottom w:val="single" w:sz="6" w:space="0" w:color="auto"/>
              <w:right w:val="single" w:sz="6" w:space="0" w:color="auto"/>
            </w:tcBorders>
            <w:shd w:val="clear" w:color="auto" w:fill="auto"/>
            <w:hideMark/>
          </w:tcPr>
          <w:p w14:paraId="6FD49FA5"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924" w:type="dxa"/>
            <w:tcBorders>
              <w:top w:val="single" w:sz="6" w:space="0" w:color="auto"/>
              <w:left w:val="single" w:sz="6" w:space="0" w:color="auto"/>
              <w:bottom w:val="single" w:sz="6" w:space="0" w:color="auto"/>
              <w:right w:val="single" w:sz="6" w:space="0" w:color="auto"/>
            </w:tcBorders>
            <w:shd w:val="clear" w:color="auto" w:fill="auto"/>
            <w:hideMark/>
          </w:tcPr>
          <w:p w14:paraId="4AFD6BFC"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852" w:type="dxa"/>
            <w:tcBorders>
              <w:top w:val="single" w:sz="6" w:space="0" w:color="auto"/>
              <w:left w:val="single" w:sz="6" w:space="0" w:color="auto"/>
              <w:bottom w:val="single" w:sz="6" w:space="0" w:color="auto"/>
              <w:right w:val="single" w:sz="6" w:space="0" w:color="auto"/>
            </w:tcBorders>
            <w:shd w:val="clear" w:color="auto" w:fill="auto"/>
            <w:hideMark/>
          </w:tcPr>
          <w:p w14:paraId="772483E0"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4EE426B4"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714" w:type="dxa"/>
            <w:tcBorders>
              <w:top w:val="single" w:sz="6" w:space="0" w:color="auto"/>
              <w:left w:val="single" w:sz="6" w:space="0" w:color="auto"/>
              <w:bottom w:val="single" w:sz="6" w:space="0" w:color="auto"/>
              <w:right w:val="single" w:sz="6" w:space="0" w:color="auto"/>
            </w:tcBorders>
            <w:shd w:val="clear" w:color="auto" w:fill="auto"/>
            <w:hideMark/>
          </w:tcPr>
          <w:p w14:paraId="21ADAAD3"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587" w:type="dxa"/>
            <w:tcBorders>
              <w:top w:val="single" w:sz="6" w:space="0" w:color="auto"/>
              <w:left w:val="single" w:sz="6" w:space="0" w:color="auto"/>
              <w:bottom w:val="single" w:sz="6" w:space="0" w:color="auto"/>
              <w:right w:val="single" w:sz="6" w:space="0" w:color="auto"/>
            </w:tcBorders>
            <w:shd w:val="clear" w:color="auto" w:fill="auto"/>
            <w:hideMark/>
          </w:tcPr>
          <w:p w14:paraId="1E7F158E"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c>
          <w:tcPr>
            <w:tcW w:w="1046" w:type="dxa"/>
            <w:tcBorders>
              <w:top w:val="single" w:sz="6" w:space="0" w:color="auto"/>
              <w:left w:val="single" w:sz="6" w:space="0" w:color="auto"/>
              <w:bottom w:val="single" w:sz="6" w:space="0" w:color="auto"/>
              <w:right w:val="single" w:sz="6" w:space="0" w:color="auto"/>
            </w:tcBorders>
            <w:shd w:val="clear" w:color="auto" w:fill="auto"/>
            <w:hideMark/>
          </w:tcPr>
          <w:p w14:paraId="0C6AA535" w14:textId="77777777" w:rsidR="00A943D6" w:rsidRPr="004748FA" w:rsidRDefault="00A943D6" w:rsidP="002528D3">
            <w:pPr>
              <w:spacing w:before="0" w:line="240" w:lineRule="auto"/>
              <w:textAlignment w:val="baseline"/>
              <w:rPr>
                <w:rFonts w:ascii="Verdana" w:hAnsi="Verdana"/>
                <w:sz w:val="24"/>
                <w:szCs w:val="24"/>
              </w:rPr>
            </w:pPr>
            <w:r w:rsidRPr="008E5ECF">
              <w:rPr>
                <w:rFonts w:ascii="Verdana" w:hAnsi="Verdana"/>
                <w:color w:val="000000"/>
                <w:sz w:val="14"/>
                <w:szCs w:val="14"/>
              </w:rPr>
              <w:t>  </w:t>
            </w:r>
          </w:p>
        </w:tc>
      </w:tr>
      <w:tr w:rsidR="00A943D6" w:rsidRPr="004B6A42" w14:paraId="51BD00B9" w14:textId="77777777" w:rsidTr="002528D3">
        <w:trPr>
          <w:trHeight w:val="315"/>
        </w:trPr>
        <w:tc>
          <w:tcPr>
            <w:tcW w:w="7803" w:type="dxa"/>
            <w:gridSpan w:val="9"/>
            <w:tcBorders>
              <w:top w:val="single" w:sz="6" w:space="0" w:color="auto"/>
              <w:left w:val="single" w:sz="6" w:space="0" w:color="000000"/>
              <w:bottom w:val="single" w:sz="6" w:space="0" w:color="000000"/>
              <w:right w:val="single" w:sz="6" w:space="0" w:color="000000"/>
            </w:tcBorders>
            <w:shd w:val="clear" w:color="auto" w:fill="D0CECE"/>
            <w:hideMark/>
          </w:tcPr>
          <w:p w14:paraId="183F5C1A"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Loans unenforceable as a result of a credit broker or other third party not being authorised or exempt </w:t>
            </w:r>
          </w:p>
        </w:tc>
      </w:tr>
      <w:tr w:rsidR="00A943D6" w:rsidRPr="00A54F8C" w14:paraId="16D22689" w14:textId="77777777" w:rsidTr="002528D3">
        <w:trPr>
          <w:trHeight w:val="81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5AD1AAA6"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Name / type of agreement </w:t>
            </w:r>
          </w:p>
        </w:tc>
        <w:tc>
          <w:tcPr>
            <w:tcW w:w="998" w:type="dxa"/>
            <w:tcBorders>
              <w:top w:val="single" w:sz="6" w:space="0" w:color="auto"/>
              <w:left w:val="single" w:sz="6" w:space="0" w:color="auto"/>
              <w:bottom w:val="single" w:sz="6" w:space="0" w:color="auto"/>
              <w:right w:val="single" w:sz="6" w:space="0" w:color="auto"/>
            </w:tcBorders>
            <w:shd w:val="clear" w:color="auto" w:fill="auto"/>
            <w:hideMark/>
          </w:tcPr>
          <w:p w14:paraId="388C7C4B"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Description of agreements </w:t>
            </w:r>
          </w:p>
        </w:tc>
        <w:tc>
          <w:tcPr>
            <w:tcW w:w="950" w:type="dxa"/>
            <w:tcBorders>
              <w:top w:val="single" w:sz="6" w:space="0" w:color="auto"/>
              <w:left w:val="single" w:sz="6" w:space="0" w:color="auto"/>
              <w:bottom w:val="single" w:sz="6" w:space="0" w:color="auto"/>
              <w:right w:val="single" w:sz="6" w:space="0" w:color="auto"/>
            </w:tcBorders>
            <w:shd w:val="clear" w:color="auto" w:fill="auto"/>
            <w:hideMark/>
          </w:tcPr>
          <w:p w14:paraId="008928DC"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Number of agreements entered into </w:t>
            </w:r>
          </w:p>
        </w:tc>
        <w:tc>
          <w:tcPr>
            <w:tcW w:w="924" w:type="dxa"/>
            <w:tcBorders>
              <w:top w:val="single" w:sz="6" w:space="0" w:color="auto"/>
              <w:left w:val="single" w:sz="6" w:space="0" w:color="auto"/>
              <w:bottom w:val="single" w:sz="6" w:space="0" w:color="auto"/>
              <w:right w:val="single" w:sz="6" w:space="0" w:color="auto"/>
            </w:tcBorders>
            <w:shd w:val="clear" w:color="auto" w:fill="auto"/>
            <w:hideMark/>
          </w:tcPr>
          <w:p w14:paraId="28F12AB5"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Total number of customers </w:t>
            </w:r>
          </w:p>
        </w:tc>
        <w:tc>
          <w:tcPr>
            <w:tcW w:w="852" w:type="dxa"/>
            <w:tcBorders>
              <w:top w:val="single" w:sz="6" w:space="0" w:color="auto"/>
              <w:left w:val="single" w:sz="6" w:space="0" w:color="auto"/>
              <w:bottom w:val="single" w:sz="6" w:space="0" w:color="auto"/>
              <w:right w:val="single" w:sz="6" w:space="0" w:color="auto"/>
            </w:tcBorders>
            <w:shd w:val="clear" w:color="auto" w:fill="auto"/>
            <w:hideMark/>
          </w:tcPr>
          <w:p w14:paraId="470030BB"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Interest charged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6D5A4624"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Additional charges </w:t>
            </w:r>
          </w:p>
        </w:tc>
        <w:tc>
          <w:tcPr>
            <w:tcW w:w="714" w:type="dxa"/>
            <w:tcBorders>
              <w:top w:val="single" w:sz="6" w:space="0" w:color="auto"/>
              <w:left w:val="single" w:sz="6" w:space="0" w:color="auto"/>
              <w:bottom w:val="single" w:sz="6" w:space="0" w:color="auto"/>
              <w:right w:val="single" w:sz="6" w:space="0" w:color="auto"/>
            </w:tcBorders>
            <w:shd w:val="clear" w:color="auto" w:fill="auto"/>
            <w:hideMark/>
          </w:tcPr>
          <w:p w14:paraId="3B41D142"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Total value of credit  </w:t>
            </w:r>
          </w:p>
        </w:tc>
        <w:tc>
          <w:tcPr>
            <w:tcW w:w="587" w:type="dxa"/>
            <w:tcBorders>
              <w:top w:val="single" w:sz="6" w:space="0" w:color="auto"/>
              <w:left w:val="single" w:sz="6" w:space="0" w:color="auto"/>
              <w:bottom w:val="single" w:sz="6" w:space="0" w:color="auto"/>
              <w:right w:val="single" w:sz="6" w:space="0" w:color="auto"/>
            </w:tcBorders>
            <w:shd w:val="clear" w:color="auto" w:fill="auto"/>
            <w:hideMark/>
          </w:tcPr>
          <w:p w14:paraId="6705A651"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Total sums paid </w:t>
            </w:r>
          </w:p>
        </w:tc>
        <w:tc>
          <w:tcPr>
            <w:tcW w:w="1046" w:type="dxa"/>
            <w:tcBorders>
              <w:top w:val="single" w:sz="6" w:space="0" w:color="auto"/>
              <w:left w:val="single" w:sz="6" w:space="0" w:color="auto"/>
              <w:bottom w:val="single" w:sz="6" w:space="0" w:color="auto"/>
              <w:right w:val="single" w:sz="6" w:space="0" w:color="auto"/>
            </w:tcBorders>
            <w:shd w:val="clear" w:color="auto" w:fill="auto"/>
            <w:hideMark/>
          </w:tcPr>
          <w:p w14:paraId="5ECA6D5B" w14:textId="77777777" w:rsidR="00A943D6" w:rsidRPr="00E92786" w:rsidRDefault="00A943D6" w:rsidP="002528D3">
            <w:pPr>
              <w:spacing w:before="0" w:line="240" w:lineRule="auto"/>
              <w:textAlignment w:val="baseline"/>
              <w:rPr>
                <w:rFonts w:ascii="Verdana" w:hAnsi="Verdana"/>
                <w:b/>
                <w:bCs/>
                <w:sz w:val="24"/>
                <w:szCs w:val="24"/>
              </w:rPr>
            </w:pPr>
            <w:r w:rsidRPr="00E92786">
              <w:rPr>
                <w:rFonts w:ascii="Verdana" w:hAnsi="Verdana"/>
                <w:b/>
                <w:bCs/>
                <w:color w:val="000000"/>
                <w:sz w:val="14"/>
                <w:szCs w:val="14"/>
              </w:rPr>
              <w:t>Number of live agreements  </w:t>
            </w:r>
          </w:p>
        </w:tc>
      </w:tr>
      <w:tr w:rsidR="00A943D6" w:rsidRPr="008D0AB0" w14:paraId="693E7B30" w14:textId="77777777" w:rsidTr="002528D3">
        <w:trPr>
          <w:trHeight w:val="1170"/>
        </w:trPr>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171D0D85"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998" w:type="dxa"/>
            <w:tcBorders>
              <w:top w:val="single" w:sz="6" w:space="0" w:color="auto"/>
              <w:left w:val="single" w:sz="6" w:space="0" w:color="auto"/>
              <w:bottom w:val="single" w:sz="6" w:space="0" w:color="auto"/>
              <w:right w:val="single" w:sz="6" w:space="0" w:color="auto"/>
            </w:tcBorders>
            <w:shd w:val="clear" w:color="auto" w:fill="auto"/>
            <w:hideMark/>
          </w:tcPr>
          <w:p w14:paraId="509C6030"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950" w:type="dxa"/>
            <w:tcBorders>
              <w:top w:val="single" w:sz="6" w:space="0" w:color="auto"/>
              <w:left w:val="single" w:sz="6" w:space="0" w:color="auto"/>
              <w:bottom w:val="single" w:sz="6" w:space="0" w:color="auto"/>
              <w:right w:val="single" w:sz="6" w:space="0" w:color="auto"/>
            </w:tcBorders>
            <w:shd w:val="clear" w:color="auto" w:fill="auto"/>
            <w:hideMark/>
          </w:tcPr>
          <w:p w14:paraId="1A22E61C"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924" w:type="dxa"/>
            <w:tcBorders>
              <w:top w:val="single" w:sz="6" w:space="0" w:color="auto"/>
              <w:left w:val="single" w:sz="6" w:space="0" w:color="auto"/>
              <w:bottom w:val="single" w:sz="6" w:space="0" w:color="auto"/>
              <w:right w:val="single" w:sz="6" w:space="0" w:color="auto"/>
            </w:tcBorders>
            <w:shd w:val="clear" w:color="auto" w:fill="auto"/>
            <w:hideMark/>
          </w:tcPr>
          <w:p w14:paraId="47E27D63"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852" w:type="dxa"/>
            <w:tcBorders>
              <w:top w:val="single" w:sz="6" w:space="0" w:color="auto"/>
              <w:left w:val="single" w:sz="6" w:space="0" w:color="auto"/>
              <w:bottom w:val="single" w:sz="6" w:space="0" w:color="auto"/>
              <w:right w:val="single" w:sz="6" w:space="0" w:color="auto"/>
            </w:tcBorders>
            <w:shd w:val="clear" w:color="auto" w:fill="auto"/>
            <w:hideMark/>
          </w:tcPr>
          <w:p w14:paraId="56F1282A"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817" w:type="dxa"/>
            <w:tcBorders>
              <w:top w:val="single" w:sz="6" w:space="0" w:color="auto"/>
              <w:left w:val="single" w:sz="6" w:space="0" w:color="auto"/>
              <w:bottom w:val="single" w:sz="6" w:space="0" w:color="auto"/>
              <w:right w:val="single" w:sz="6" w:space="0" w:color="auto"/>
            </w:tcBorders>
            <w:shd w:val="clear" w:color="auto" w:fill="auto"/>
            <w:hideMark/>
          </w:tcPr>
          <w:p w14:paraId="7C9EADFE"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714" w:type="dxa"/>
            <w:tcBorders>
              <w:top w:val="single" w:sz="6" w:space="0" w:color="auto"/>
              <w:left w:val="single" w:sz="6" w:space="0" w:color="auto"/>
              <w:bottom w:val="single" w:sz="6" w:space="0" w:color="auto"/>
              <w:right w:val="single" w:sz="6" w:space="0" w:color="auto"/>
            </w:tcBorders>
            <w:shd w:val="clear" w:color="auto" w:fill="auto"/>
            <w:hideMark/>
          </w:tcPr>
          <w:p w14:paraId="6E85E833"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587" w:type="dxa"/>
            <w:tcBorders>
              <w:top w:val="single" w:sz="6" w:space="0" w:color="auto"/>
              <w:left w:val="single" w:sz="6" w:space="0" w:color="auto"/>
              <w:bottom w:val="single" w:sz="6" w:space="0" w:color="auto"/>
              <w:right w:val="single" w:sz="6" w:space="0" w:color="auto"/>
            </w:tcBorders>
            <w:shd w:val="clear" w:color="auto" w:fill="auto"/>
            <w:hideMark/>
          </w:tcPr>
          <w:p w14:paraId="2229E158"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c>
          <w:tcPr>
            <w:tcW w:w="1046" w:type="dxa"/>
            <w:tcBorders>
              <w:top w:val="single" w:sz="6" w:space="0" w:color="auto"/>
              <w:left w:val="single" w:sz="6" w:space="0" w:color="auto"/>
              <w:bottom w:val="single" w:sz="6" w:space="0" w:color="auto"/>
              <w:right w:val="single" w:sz="6" w:space="0" w:color="auto"/>
            </w:tcBorders>
            <w:shd w:val="clear" w:color="auto" w:fill="auto"/>
            <w:hideMark/>
          </w:tcPr>
          <w:p w14:paraId="3BB6A757" w14:textId="77777777" w:rsidR="00A943D6" w:rsidRPr="00AF3BF5" w:rsidRDefault="00A943D6" w:rsidP="002528D3">
            <w:pPr>
              <w:spacing w:before="0" w:line="240" w:lineRule="auto"/>
              <w:textAlignment w:val="baseline"/>
              <w:rPr>
                <w:rFonts w:ascii="Verdana" w:hAnsi="Verdana"/>
                <w:sz w:val="24"/>
                <w:szCs w:val="24"/>
              </w:rPr>
            </w:pPr>
            <w:r w:rsidRPr="008D0AB0">
              <w:rPr>
                <w:rFonts w:ascii="Verdana" w:hAnsi="Verdana"/>
                <w:color w:val="000000"/>
                <w:sz w:val="14"/>
                <w:szCs w:val="14"/>
              </w:rPr>
              <w:t> </w:t>
            </w:r>
          </w:p>
        </w:tc>
      </w:tr>
    </w:tbl>
    <w:p w14:paraId="1D08BE53"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sz w:val="18"/>
          <w:szCs w:val="18"/>
          <w:u w:val="single"/>
        </w:rPr>
      </w:pPr>
    </w:p>
    <w:p w14:paraId="737A407A"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34088FB7"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53A4BBC5">
        <w:rPr>
          <w:rStyle w:val="normaltextrun"/>
          <w:rFonts w:ascii="Verdana" w:hAnsi="Verdana" w:cs="Segoe UI"/>
          <w:sz w:val="18"/>
          <w:szCs w:val="18"/>
        </w:rPr>
        <w:t xml:space="preserve">Once we have assessed Stage 1 of your application, we will confirm whether we agree that the relevant agreements are within the scope of the FCA’s power to grant a validation order under s28A FSMA. If we do agree that they are, you will need to start designing your consumer harm exercise (see the notes </w:t>
      </w:r>
      <w:r>
        <w:rPr>
          <w:rStyle w:val="normaltextrun"/>
          <w:rFonts w:ascii="Verdana" w:hAnsi="Verdana" w:cs="Segoe UI"/>
          <w:sz w:val="18"/>
          <w:szCs w:val="18"/>
        </w:rPr>
        <w:t xml:space="preserve">below </w:t>
      </w:r>
      <w:r w:rsidRPr="53A4BBC5">
        <w:rPr>
          <w:rStyle w:val="normaltextrun"/>
          <w:rFonts w:ascii="Verdana" w:hAnsi="Verdana" w:cs="Segoe UI"/>
          <w:sz w:val="18"/>
          <w:szCs w:val="18"/>
        </w:rPr>
        <w:t>and the Guidance No</w:t>
      </w:r>
      <w:r>
        <w:rPr>
          <w:rStyle w:val="normaltextrun"/>
          <w:rFonts w:ascii="Verdana" w:hAnsi="Verdana" w:cs="Segoe UI"/>
          <w:sz w:val="18"/>
          <w:szCs w:val="18"/>
        </w:rPr>
        <w:t>t</w:t>
      </w:r>
      <w:r w:rsidRPr="53A4BBC5">
        <w:rPr>
          <w:rStyle w:val="normaltextrun"/>
          <w:rFonts w:ascii="Verdana" w:hAnsi="Verdana" w:cs="Segoe UI"/>
          <w:sz w:val="18"/>
          <w:szCs w:val="18"/>
        </w:rPr>
        <w:t>es: Stage 2 – Consumer Harm Assessment on what this involves); we expect to see your proposed Consumer Harm Exercise in final draft and, whilst it is ultimately solely your responsibility to ensure it is fit for purpose, we may (if not likely will) make suggestions as to parameters to be included in it. </w:t>
      </w:r>
      <w:r w:rsidRPr="53A4BBC5">
        <w:rPr>
          <w:rStyle w:val="eop"/>
          <w:rFonts w:ascii="Verdana" w:hAnsi="Verdana" w:cs="Segoe UI"/>
          <w:sz w:val="18"/>
          <w:szCs w:val="18"/>
        </w:rPr>
        <w:t> </w:t>
      </w:r>
    </w:p>
    <w:p w14:paraId="477E4203"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51B74175"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b/>
          <w:bCs/>
          <w:sz w:val="18"/>
          <w:szCs w:val="18"/>
        </w:rPr>
      </w:pPr>
    </w:p>
    <w:p w14:paraId="7E571392" w14:textId="77777777" w:rsidR="00A943D6" w:rsidRPr="008054A9" w:rsidRDefault="00A943D6" w:rsidP="00A943D6">
      <w:pPr>
        <w:pStyle w:val="paragraph"/>
        <w:spacing w:before="0" w:beforeAutospacing="0" w:after="0" w:afterAutospacing="0"/>
        <w:ind w:left="-1710" w:right="720"/>
        <w:textAlignment w:val="baseline"/>
        <w:rPr>
          <w:rFonts w:ascii="Verdana" w:hAnsi="Verdana" w:cs="Segoe UI"/>
          <w:b/>
          <w:bCs/>
          <w:sz w:val="18"/>
          <w:szCs w:val="18"/>
        </w:rPr>
      </w:pPr>
      <w:r w:rsidRPr="008054A9">
        <w:rPr>
          <w:rStyle w:val="normaltextrun"/>
          <w:rFonts w:ascii="Verdana" w:hAnsi="Verdana" w:cs="Segoe UI"/>
          <w:b/>
          <w:bCs/>
          <w:sz w:val="18"/>
          <w:szCs w:val="18"/>
        </w:rPr>
        <w:t xml:space="preserve">Stage 2 – (Sections </w:t>
      </w:r>
      <w:r w:rsidRPr="00AF3BF5">
        <w:rPr>
          <w:rStyle w:val="normaltextrun"/>
          <w:rFonts w:ascii="Verdana" w:hAnsi="Verdana" w:cs="Segoe UI"/>
          <w:b/>
          <w:bCs/>
          <w:sz w:val="18"/>
          <w:szCs w:val="18"/>
        </w:rPr>
        <w:t>5</w:t>
      </w:r>
      <w:r w:rsidRPr="008054A9">
        <w:rPr>
          <w:rStyle w:val="normaltextrun"/>
          <w:rFonts w:ascii="Verdana" w:hAnsi="Verdana" w:cs="Segoe UI"/>
          <w:b/>
          <w:bCs/>
          <w:sz w:val="18"/>
          <w:szCs w:val="18"/>
        </w:rPr>
        <w:t>-</w:t>
      </w:r>
      <w:r>
        <w:rPr>
          <w:rStyle w:val="normaltextrun"/>
          <w:rFonts w:ascii="Verdana" w:hAnsi="Verdana" w:cs="Segoe UI"/>
          <w:b/>
          <w:bCs/>
          <w:sz w:val="18"/>
          <w:szCs w:val="18"/>
        </w:rPr>
        <w:t>7</w:t>
      </w:r>
      <w:r w:rsidRPr="008054A9">
        <w:rPr>
          <w:rStyle w:val="normaltextrun"/>
          <w:rFonts w:ascii="Verdana" w:hAnsi="Verdana" w:cs="Segoe UI"/>
          <w:b/>
          <w:bCs/>
          <w:sz w:val="18"/>
          <w:szCs w:val="18"/>
        </w:rPr>
        <w:t>)</w:t>
      </w:r>
      <w:r w:rsidRPr="008054A9">
        <w:rPr>
          <w:rStyle w:val="eop"/>
          <w:rFonts w:ascii="Verdana" w:hAnsi="Verdana" w:cs="Segoe UI"/>
          <w:b/>
          <w:bCs/>
          <w:sz w:val="18"/>
          <w:szCs w:val="18"/>
        </w:rPr>
        <w:t> </w:t>
      </w:r>
    </w:p>
    <w:p w14:paraId="6D96C1B8"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eop"/>
          <w:rFonts w:ascii="Verdana" w:hAnsi="Verdana" w:cs="Segoe UI"/>
          <w:sz w:val="18"/>
          <w:szCs w:val="18"/>
        </w:rPr>
        <w:t> </w:t>
      </w:r>
    </w:p>
    <w:p w14:paraId="4B92AF72"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normaltextrun"/>
          <w:rFonts w:ascii="Verdana" w:hAnsi="Verdana" w:cs="Segoe UI"/>
          <w:sz w:val="18"/>
          <w:szCs w:val="18"/>
        </w:rPr>
        <w:t xml:space="preserve">Once the FCA has completed its initial review of your completed Stage 1, it will direct you to complete Stage 2 (Section </w:t>
      </w:r>
      <w:r>
        <w:rPr>
          <w:rStyle w:val="normaltextrun"/>
          <w:rFonts w:ascii="Verdana" w:hAnsi="Verdana" w:cs="Segoe UI"/>
          <w:sz w:val="18"/>
          <w:szCs w:val="18"/>
        </w:rPr>
        <w:t>5</w:t>
      </w:r>
      <w:r w:rsidRPr="00E92786">
        <w:rPr>
          <w:rStyle w:val="normaltextrun"/>
          <w:rFonts w:ascii="Verdana" w:hAnsi="Verdana" w:cs="Segoe UI"/>
          <w:sz w:val="18"/>
          <w:szCs w:val="18"/>
        </w:rPr>
        <w:t>-</w:t>
      </w:r>
      <w:r>
        <w:rPr>
          <w:rStyle w:val="normaltextrun"/>
          <w:rFonts w:ascii="Verdana" w:hAnsi="Verdana" w:cs="Segoe UI"/>
          <w:sz w:val="18"/>
          <w:szCs w:val="18"/>
        </w:rPr>
        <w:t>7</w:t>
      </w:r>
      <w:r w:rsidRPr="00E92786">
        <w:rPr>
          <w:rStyle w:val="normaltextrun"/>
          <w:rFonts w:ascii="Verdana" w:hAnsi="Verdana" w:cs="Segoe UI"/>
          <w:sz w:val="18"/>
          <w:szCs w:val="18"/>
        </w:rPr>
        <w:t>). </w:t>
      </w:r>
      <w:r w:rsidRPr="00E92786">
        <w:rPr>
          <w:rStyle w:val="eop"/>
          <w:rFonts w:ascii="Verdana" w:hAnsi="Verdana" w:cs="Segoe UI"/>
          <w:sz w:val="18"/>
          <w:szCs w:val="18"/>
        </w:rPr>
        <w:t> </w:t>
      </w:r>
    </w:p>
    <w:p w14:paraId="55618F24"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eop"/>
          <w:rFonts w:ascii="Verdana" w:hAnsi="Verdana" w:cs="Segoe UI"/>
          <w:sz w:val="18"/>
          <w:szCs w:val="18"/>
        </w:rPr>
        <w:t> </w:t>
      </w:r>
    </w:p>
    <w:p w14:paraId="1ABD330B"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normaltextrun"/>
          <w:rFonts w:ascii="Verdana" w:hAnsi="Verdana" w:cs="Segoe UI"/>
          <w:sz w:val="18"/>
          <w:szCs w:val="18"/>
        </w:rPr>
        <w:t>Section 5 will require you to conduct a consumer harm exercise (part of which will be informed by a consumer contact exercise) to identify the extent of any actual or potential consumer harm that may have been caused as a result of customers entering into the relevant agreements. </w:t>
      </w:r>
      <w:r w:rsidRPr="00E92786">
        <w:rPr>
          <w:rStyle w:val="eop"/>
          <w:rFonts w:ascii="Verdana" w:hAnsi="Verdana" w:cs="Segoe UI"/>
          <w:sz w:val="18"/>
          <w:szCs w:val="18"/>
        </w:rPr>
        <w:t> </w:t>
      </w:r>
    </w:p>
    <w:p w14:paraId="675BF41A" w14:textId="77777777" w:rsidR="00A943D6" w:rsidRPr="00A2287E" w:rsidRDefault="00A943D6" w:rsidP="00A943D6">
      <w:pPr>
        <w:pStyle w:val="paragraph"/>
        <w:spacing w:before="0" w:beforeAutospacing="0" w:after="0" w:afterAutospacing="0"/>
        <w:ind w:right="720"/>
        <w:textAlignment w:val="baseline"/>
        <w:rPr>
          <w:rFonts w:ascii="Verdana" w:hAnsi="Verdana" w:cs="Segoe UI"/>
          <w:sz w:val="18"/>
          <w:szCs w:val="18"/>
        </w:rPr>
      </w:pPr>
      <w:r w:rsidRPr="00E92786">
        <w:rPr>
          <w:rStyle w:val="eop"/>
          <w:rFonts w:ascii="Verdana" w:hAnsi="Verdana" w:cs="Segoe UI"/>
          <w:sz w:val="18"/>
          <w:szCs w:val="18"/>
        </w:rPr>
        <w:t> </w:t>
      </w:r>
    </w:p>
    <w:p w14:paraId="4DB071BF"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sz w:val="18"/>
          <w:szCs w:val="18"/>
        </w:rPr>
      </w:pPr>
      <w:r w:rsidRPr="53A4BBC5">
        <w:rPr>
          <w:rStyle w:val="normaltextrun"/>
          <w:rFonts w:ascii="Verdana" w:hAnsi="Verdana" w:cs="Segoe UI"/>
          <w:sz w:val="18"/>
          <w:szCs w:val="18"/>
        </w:rPr>
        <w:t>The purpose of this assessment is to identify any actual or potential consumer harm that may have occurred or may occur in the future in connection with the relevant agreements into which affected consumers have entered. The assessment will involve four</w:t>
      </w:r>
      <w:r>
        <w:rPr>
          <w:rStyle w:val="normaltextrun"/>
          <w:rFonts w:ascii="Verdana" w:hAnsi="Verdana" w:cs="Segoe UI"/>
          <w:sz w:val="18"/>
          <w:szCs w:val="18"/>
        </w:rPr>
        <w:t xml:space="preserve"> steps</w:t>
      </w:r>
      <w:r w:rsidRPr="53A4BBC5">
        <w:rPr>
          <w:rStyle w:val="normaltextrun"/>
          <w:rFonts w:ascii="Verdana" w:hAnsi="Verdana" w:cs="Segoe UI"/>
          <w:sz w:val="18"/>
          <w:szCs w:val="18"/>
        </w:rPr>
        <w:t xml:space="preserve"> which are:</w:t>
      </w:r>
      <w:r w:rsidRPr="53A4BBC5">
        <w:rPr>
          <w:rStyle w:val="eop"/>
          <w:rFonts w:ascii="Verdana" w:hAnsi="Verdana" w:cs="Segoe UI"/>
          <w:sz w:val="18"/>
          <w:szCs w:val="18"/>
        </w:rPr>
        <w:t> </w:t>
      </w:r>
    </w:p>
    <w:p w14:paraId="0508803C"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p>
    <w:p w14:paraId="322C3B17" w14:textId="77777777" w:rsidR="00A943D6" w:rsidRDefault="00A943D6" w:rsidP="00A943D6">
      <w:pPr>
        <w:pStyle w:val="paragraph"/>
        <w:spacing w:before="0" w:beforeAutospacing="0" w:after="0" w:afterAutospacing="0"/>
        <w:ind w:left="-1710" w:right="720"/>
        <w:textAlignment w:val="baseline"/>
        <w:rPr>
          <w:rFonts w:ascii="Verdana" w:hAnsi="Verdana"/>
          <w:sz w:val="18"/>
          <w:szCs w:val="18"/>
        </w:rPr>
      </w:pPr>
      <w:r w:rsidRPr="00E92786">
        <w:rPr>
          <w:rStyle w:val="eop"/>
          <w:rFonts w:ascii="Verdana" w:hAnsi="Verdana" w:cs="Segoe UI"/>
          <w:sz w:val="18"/>
          <w:szCs w:val="18"/>
        </w:rPr>
        <w:t> </w:t>
      </w:r>
      <w:r w:rsidRPr="00A2287E">
        <w:rPr>
          <w:rFonts w:ascii="Verdana" w:hAnsi="Verdana"/>
          <w:sz w:val="18"/>
          <w:szCs w:val="18"/>
        </w:rPr>
        <w:t>1. Customer journey walkthrough </w:t>
      </w:r>
    </w:p>
    <w:p w14:paraId="65E3AB28" w14:textId="77777777" w:rsidR="00A943D6" w:rsidRDefault="00A943D6" w:rsidP="00A943D6">
      <w:pPr>
        <w:pStyle w:val="paragraph"/>
        <w:spacing w:before="0" w:beforeAutospacing="0" w:after="0" w:afterAutospacing="0"/>
        <w:ind w:left="-1710" w:right="720"/>
        <w:textAlignment w:val="baseline"/>
        <w:rPr>
          <w:rFonts w:ascii="Verdana" w:hAnsi="Verdana"/>
          <w:sz w:val="18"/>
          <w:szCs w:val="18"/>
        </w:rPr>
      </w:pPr>
      <w:r>
        <w:rPr>
          <w:rFonts w:ascii="Verdana" w:hAnsi="Verdana"/>
          <w:sz w:val="18"/>
          <w:szCs w:val="18"/>
        </w:rPr>
        <w:t xml:space="preserve"> </w:t>
      </w:r>
      <w:r w:rsidRPr="00A2287E">
        <w:rPr>
          <w:rFonts w:ascii="Verdana" w:hAnsi="Verdana"/>
          <w:sz w:val="18"/>
          <w:szCs w:val="18"/>
        </w:rPr>
        <w:t>2. Customer contact exercise  </w:t>
      </w:r>
    </w:p>
    <w:p w14:paraId="6A2A1A82" w14:textId="77777777" w:rsidR="00A943D6" w:rsidRDefault="00A943D6" w:rsidP="00A943D6">
      <w:pPr>
        <w:pStyle w:val="paragraph"/>
        <w:spacing w:before="0" w:beforeAutospacing="0" w:after="0" w:afterAutospacing="0"/>
        <w:ind w:left="-1710" w:right="720"/>
        <w:textAlignment w:val="baseline"/>
        <w:rPr>
          <w:rFonts w:ascii="Verdana" w:hAnsi="Verdana"/>
          <w:sz w:val="18"/>
          <w:szCs w:val="18"/>
        </w:rPr>
      </w:pPr>
      <w:r w:rsidRPr="53A4BBC5">
        <w:rPr>
          <w:rFonts w:ascii="Verdana" w:hAnsi="Verdana"/>
          <w:sz w:val="18"/>
          <w:szCs w:val="18"/>
        </w:rPr>
        <w:t xml:space="preserve"> 3. Report results to the FCA setting out your consumer harm assessment </w:t>
      </w:r>
    </w:p>
    <w:p w14:paraId="6C47EC87" w14:textId="77777777" w:rsidR="00A943D6" w:rsidRPr="00A2287E" w:rsidRDefault="00A943D6" w:rsidP="00A943D6">
      <w:pPr>
        <w:pStyle w:val="paragraph"/>
        <w:spacing w:before="0" w:beforeAutospacing="0" w:after="0" w:afterAutospacing="0"/>
        <w:ind w:left="-1710" w:right="720"/>
        <w:textAlignment w:val="baseline"/>
        <w:rPr>
          <w:rFonts w:ascii="Verdana" w:hAnsi="Verdana"/>
          <w:sz w:val="18"/>
          <w:szCs w:val="18"/>
        </w:rPr>
      </w:pPr>
      <w:r>
        <w:rPr>
          <w:rFonts w:ascii="Verdana" w:hAnsi="Verdana"/>
          <w:sz w:val="18"/>
          <w:szCs w:val="18"/>
        </w:rPr>
        <w:t xml:space="preserve"> </w:t>
      </w:r>
      <w:r w:rsidRPr="00A2287E">
        <w:rPr>
          <w:rFonts w:ascii="Verdana" w:hAnsi="Verdana"/>
          <w:sz w:val="18"/>
          <w:szCs w:val="18"/>
        </w:rPr>
        <w:t>4. Request from FCA for clarification and/or to discuss your findings  </w:t>
      </w:r>
    </w:p>
    <w:p w14:paraId="1E49E830"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eop"/>
          <w:rFonts w:ascii="Verdana" w:hAnsi="Verdana" w:cs="Segoe UI"/>
          <w:sz w:val="18"/>
          <w:szCs w:val="18"/>
        </w:rPr>
        <w:t> </w:t>
      </w:r>
    </w:p>
    <w:p w14:paraId="145D37B5"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eop"/>
          <w:rFonts w:ascii="Verdana" w:hAnsi="Verdana" w:cs="Segoe UI"/>
          <w:sz w:val="18"/>
          <w:szCs w:val="18"/>
        </w:rPr>
        <w:t> </w:t>
      </w:r>
    </w:p>
    <w:p w14:paraId="572ECC0E" w14:textId="77777777" w:rsidR="00A943D6" w:rsidRPr="00A2287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F21950">
        <w:rPr>
          <w:rStyle w:val="normaltextrun"/>
          <w:rFonts w:ascii="Verdana" w:hAnsi="Verdana" w:cs="Segoe UI"/>
          <w:b/>
          <w:bCs/>
          <w:sz w:val="18"/>
          <w:szCs w:val="18"/>
          <w:u w:val="single"/>
        </w:rPr>
        <w:lastRenderedPageBreak/>
        <w:t>IMPORTANT</w:t>
      </w:r>
      <w:r w:rsidRPr="00E92786">
        <w:rPr>
          <w:rStyle w:val="normaltextrun"/>
          <w:rFonts w:ascii="Verdana" w:hAnsi="Verdana" w:cs="Segoe UI"/>
          <w:sz w:val="18"/>
          <w:szCs w:val="18"/>
        </w:rPr>
        <w:t>: We will grant a validation order only if we are satisfied that it is just and equitable to do so in the circumstances. In reaching our decision, we must consider all relevant factors. </w:t>
      </w:r>
      <w:r w:rsidRPr="00E92786">
        <w:rPr>
          <w:rStyle w:val="eop"/>
          <w:rFonts w:ascii="Verdana" w:hAnsi="Verdana" w:cs="Segoe UI"/>
          <w:sz w:val="18"/>
          <w:szCs w:val="18"/>
        </w:rPr>
        <w:t> </w:t>
      </w:r>
    </w:p>
    <w:p w14:paraId="395722DB" w14:textId="77777777" w:rsidR="00A943D6" w:rsidRPr="004068BE"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eop"/>
          <w:rFonts w:ascii="Verdana" w:hAnsi="Verdana" w:cs="Segoe UI"/>
          <w:sz w:val="18"/>
          <w:szCs w:val="18"/>
        </w:rPr>
        <w:t> </w:t>
      </w:r>
    </w:p>
    <w:p w14:paraId="5EE1095E"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sidRPr="00E92786">
        <w:rPr>
          <w:rStyle w:val="normaltextrun"/>
          <w:rFonts w:ascii="Verdana" w:hAnsi="Verdana" w:cs="Segoe UI"/>
          <w:sz w:val="18"/>
          <w:szCs w:val="18"/>
        </w:rPr>
        <w:t>The applicant must undertake a robust and comprehensive consumer contact exercise and provide a robust and comprehensive assessment of consumer harm. If the applicant does not do so, the likelihood is that the FCA will not be able to reach the positive conclusion</w:t>
      </w:r>
      <w:r>
        <w:rPr>
          <w:rStyle w:val="normaltextrun"/>
          <w:rFonts w:ascii="Verdana" w:hAnsi="Verdana" w:cs="Segoe UI"/>
          <w:sz w:val="18"/>
          <w:szCs w:val="18"/>
        </w:rPr>
        <w:t xml:space="preserve"> that it is “just and equitable” to grant a validation order – and so the validation order will not be granted. </w:t>
      </w:r>
      <w:r>
        <w:rPr>
          <w:rStyle w:val="eop"/>
          <w:rFonts w:ascii="Verdana" w:hAnsi="Verdana" w:cs="Segoe UI"/>
          <w:sz w:val="18"/>
          <w:szCs w:val="18"/>
        </w:rPr>
        <w:t> </w:t>
      </w:r>
    </w:p>
    <w:p w14:paraId="7A3144DE" w14:textId="77777777" w:rsidR="00A943D6" w:rsidRPr="00AF3BF5" w:rsidRDefault="00A943D6" w:rsidP="00A943D6">
      <w:pPr>
        <w:pStyle w:val="paragraph"/>
        <w:spacing w:before="0" w:beforeAutospacing="0" w:after="0" w:afterAutospacing="0"/>
        <w:ind w:right="720"/>
        <w:textAlignment w:val="baseline"/>
        <w:rPr>
          <w:rFonts w:ascii="Verdana" w:hAnsi="Verdana" w:cs="Segoe UI"/>
          <w:sz w:val="18"/>
          <w:szCs w:val="18"/>
        </w:rPr>
      </w:pPr>
      <w:r>
        <w:rPr>
          <w:rStyle w:val="eop"/>
          <w:rFonts w:ascii="Verdana" w:hAnsi="Verdana" w:cs="Segoe UI"/>
          <w:sz w:val="18"/>
          <w:szCs w:val="18"/>
        </w:rPr>
        <w:t> </w:t>
      </w:r>
    </w:p>
    <w:p w14:paraId="4F2C042A"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For agreements entered into on or after 1 April 2014, we must have specific regard to whether (depending on how unenforceability arose):</w:t>
      </w:r>
      <w:r>
        <w:rPr>
          <w:rStyle w:val="eop"/>
          <w:rFonts w:ascii="Verdana" w:hAnsi="Verdana" w:cs="Segoe UI"/>
          <w:sz w:val="18"/>
          <w:szCs w:val="18"/>
        </w:rPr>
        <w:t> </w:t>
      </w:r>
    </w:p>
    <w:p w14:paraId="66A8A17D" w14:textId="77777777" w:rsidR="00A943D6" w:rsidRPr="00F0142D"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0142D">
        <w:rPr>
          <w:rFonts w:ascii="Verdana" w:hAnsi="Verdana"/>
          <w:sz w:val="18"/>
          <w:szCs w:val="18"/>
        </w:rPr>
        <w:t>the lender reasonably believed that in making the agreement it was neither contravening the general prohibition nor acting without permission  </w:t>
      </w:r>
    </w:p>
    <w:p w14:paraId="6E481744" w14:textId="77777777" w:rsidR="00A943D6" w:rsidRPr="00F0142D"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0142D">
        <w:rPr>
          <w:rFonts w:ascii="Verdana" w:hAnsi="Verdana"/>
          <w:sz w:val="18"/>
          <w:szCs w:val="18"/>
        </w:rPr>
        <w:t>if applicable, the lender knew that a credit broker or other third party, involved prior to the agreement, was either contravening the general prohibition or acting without permission </w:t>
      </w:r>
    </w:p>
    <w:p w14:paraId="5EB18A41" w14:textId="77777777" w:rsidR="00A943D6" w:rsidRPr="00F0142D"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0142D">
        <w:rPr>
          <w:rFonts w:ascii="Verdana" w:hAnsi="Verdana"/>
          <w:sz w:val="18"/>
          <w:szCs w:val="18"/>
        </w:rPr>
        <w:t>For agreements entered into before 1 April 2014, we must give specific consideration to whether the applicant firm (i.e., the person who (disregarding the provisions rendering the agreement(s) not enforceable) would be entitled to enforce the agreement(s)) either:  </w:t>
      </w:r>
    </w:p>
    <w:p w14:paraId="5C11D7DF" w14:textId="77777777" w:rsidR="00A943D6" w:rsidRPr="00F0142D"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0142D">
        <w:rPr>
          <w:rFonts w:ascii="Verdana" w:hAnsi="Verdana"/>
          <w:sz w:val="18"/>
          <w:szCs w:val="18"/>
        </w:rPr>
        <w:t>reasonably believed that a licence under the CCA was not required by the ‘lender’, ‘owner’ or ‘trader’ (as the case may be) to enter into the relevant agreement(s); or  </w:t>
      </w:r>
    </w:p>
    <w:p w14:paraId="3393744F" w14:textId="77777777" w:rsidR="00A943D6" w:rsidRPr="00F0142D" w:rsidRDefault="00A943D6" w:rsidP="00A943D6">
      <w:pPr>
        <w:pStyle w:val="ListParagraph"/>
        <w:numPr>
          <w:ilvl w:val="0"/>
          <w:numId w:val="11"/>
        </w:numPr>
        <w:spacing w:before="0" w:after="120" w:line="240" w:lineRule="auto"/>
        <w:ind w:right="731"/>
        <w:contextualSpacing/>
        <w:rPr>
          <w:rFonts w:ascii="Verdana" w:hAnsi="Verdana"/>
          <w:sz w:val="18"/>
          <w:szCs w:val="18"/>
        </w:rPr>
      </w:pPr>
      <w:r w:rsidRPr="00F0142D">
        <w:rPr>
          <w:rFonts w:ascii="Verdana" w:hAnsi="Verdana"/>
          <w:sz w:val="18"/>
          <w:szCs w:val="18"/>
        </w:rPr>
        <w:t>reasonably believed that a licence under the CCA was not required by the credit broker when introducing the underlying consumer(s) to the ‘lender’ or ‘owner’. </w:t>
      </w:r>
    </w:p>
    <w:p w14:paraId="3AE1BC90"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010BAD31"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b/>
          <w:bCs/>
          <w:sz w:val="18"/>
          <w:szCs w:val="18"/>
        </w:rPr>
        <w:t>For full details on what is required in Stage 2, please review the Validation Orders (VO) Application Forms – Guidance Notes: Stage 2 – Consumer Harm Assessment.</w:t>
      </w:r>
      <w:r>
        <w:rPr>
          <w:rStyle w:val="eop"/>
          <w:rFonts w:ascii="Verdana" w:hAnsi="Verdana" w:cs="Segoe UI"/>
          <w:sz w:val="18"/>
          <w:szCs w:val="18"/>
        </w:rPr>
        <w:t> </w:t>
      </w:r>
    </w:p>
    <w:p w14:paraId="37FFF237"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70FBF169"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sz w:val="18"/>
          <w:szCs w:val="18"/>
        </w:rPr>
      </w:pPr>
      <w:r>
        <w:rPr>
          <w:rStyle w:val="normaltextrun"/>
          <w:rFonts w:ascii="Verdana" w:hAnsi="Verdana" w:cs="Segoe UI"/>
          <w:sz w:val="18"/>
          <w:szCs w:val="18"/>
        </w:rPr>
        <w:t xml:space="preserve">Section 6 relates to the application fees for Stage 2. </w:t>
      </w:r>
    </w:p>
    <w:p w14:paraId="0C692EC0" w14:textId="77777777" w:rsidR="00A943D6" w:rsidRDefault="00A943D6" w:rsidP="00A943D6">
      <w:pPr>
        <w:pStyle w:val="paragraph"/>
        <w:spacing w:before="0" w:beforeAutospacing="0" w:after="0" w:afterAutospacing="0"/>
        <w:ind w:left="-1710" w:right="720"/>
        <w:textAlignment w:val="baseline"/>
        <w:rPr>
          <w:rStyle w:val="normaltextrun"/>
          <w:rFonts w:ascii="Verdana" w:hAnsi="Verdana" w:cs="Segoe UI"/>
          <w:sz w:val="18"/>
          <w:szCs w:val="18"/>
        </w:rPr>
      </w:pPr>
    </w:p>
    <w:p w14:paraId="3A333AEA"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sz w:val="18"/>
          <w:szCs w:val="18"/>
        </w:rPr>
      </w:pPr>
      <w:r>
        <w:rPr>
          <w:rStyle w:val="normaltextrun"/>
          <w:rFonts w:ascii="Verdana" w:hAnsi="Verdana" w:cs="Segoe UI"/>
          <w:sz w:val="18"/>
          <w:szCs w:val="18"/>
        </w:rPr>
        <w:t>Section 7 is the signature and declaration where an authorised person on behalf of the relevant firm must agree and sign in respect of Stage 2.  </w:t>
      </w:r>
      <w:r>
        <w:rPr>
          <w:rStyle w:val="eop"/>
          <w:rFonts w:ascii="Verdana" w:hAnsi="Verdana" w:cs="Segoe UI"/>
          <w:sz w:val="18"/>
          <w:szCs w:val="18"/>
        </w:rPr>
        <w:t> </w:t>
      </w:r>
    </w:p>
    <w:p w14:paraId="5A680191"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sz w:val="18"/>
          <w:szCs w:val="18"/>
        </w:rPr>
      </w:pPr>
    </w:p>
    <w:p w14:paraId="6310FA5B" w14:textId="77777777" w:rsidR="00A943D6" w:rsidRPr="004874FB" w:rsidRDefault="00A943D6" w:rsidP="00A943D6">
      <w:pPr>
        <w:pStyle w:val="Questionnote"/>
        <w:ind w:left="-1701"/>
        <w:rPr>
          <w:rFonts w:ascii="Verdana" w:hAnsi="Verdana"/>
        </w:rPr>
      </w:pPr>
    </w:p>
    <w:p w14:paraId="1D61575E"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b/>
          <w:bCs/>
          <w:sz w:val="22"/>
          <w:szCs w:val="22"/>
        </w:rPr>
      </w:pPr>
      <w:r>
        <w:rPr>
          <w:rStyle w:val="normaltextrun"/>
          <w:rFonts w:ascii="Verdana" w:hAnsi="Verdana" w:cs="Segoe UI"/>
          <w:b/>
          <w:bCs/>
          <w:sz w:val="22"/>
          <w:szCs w:val="22"/>
        </w:rPr>
        <w:t>Outcome of application </w:t>
      </w:r>
      <w:r>
        <w:rPr>
          <w:rStyle w:val="eop"/>
          <w:rFonts w:ascii="Verdana" w:hAnsi="Verdana" w:cs="Segoe UI"/>
          <w:b/>
          <w:bCs/>
          <w:sz w:val="22"/>
          <w:szCs w:val="22"/>
        </w:rPr>
        <w:t> </w:t>
      </w:r>
    </w:p>
    <w:p w14:paraId="3A61709D"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b/>
          <w:sz w:val="18"/>
          <w:szCs w:val="18"/>
        </w:rPr>
      </w:pPr>
    </w:p>
    <w:p w14:paraId="472A0B1B"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p>
    <w:p w14:paraId="32F8DD02"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Once you have submitted Stage 2 of your application with Sections 6-9 now complete, and you have provided the FCA with such further information as we reasonably consider necessary to enable us to determine the application, we will be in a position to begin our assessment. Once our assessment has progressed sufficiently, we will communicate our initial view on Stage 2 of the application by way of a draft of the Notice of Determination that we propose to issue. You will then have the opportunity to make written representations on that draft Notice, before we determine the application and issue our final Notice of Determination.</w:t>
      </w:r>
      <w:r>
        <w:rPr>
          <w:rStyle w:val="eop"/>
          <w:rFonts w:ascii="Verdana" w:hAnsi="Verdana" w:cs="Segoe UI"/>
          <w:sz w:val="18"/>
          <w:szCs w:val="18"/>
        </w:rPr>
        <w:t> </w:t>
      </w:r>
    </w:p>
    <w:p w14:paraId="1043532C"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01DA705E"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A decision can be made to grant, refuse, or to limit the validation order or to attach conditions. For example, the FCA may allow enforcement of agreements but decide not to allow monies to be retained by the firm, or only in part, if we consider this to be just and equitable in the circumstances. The notice will also include an indication of the right of any person aggrieved by the determination (which may include the applicant firm or a consumer who is a party to an agreement subject of the Application) to have the matter referred to the Tribunal and the procedure for doing so.</w:t>
      </w:r>
      <w:r>
        <w:rPr>
          <w:rStyle w:val="eop"/>
          <w:rFonts w:ascii="Verdana" w:hAnsi="Verdana" w:cs="Segoe UI"/>
          <w:sz w:val="18"/>
          <w:szCs w:val="18"/>
        </w:rPr>
        <w:t> </w:t>
      </w:r>
    </w:p>
    <w:p w14:paraId="34156E29"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352FF496" w14:textId="77777777" w:rsidR="00A943D6" w:rsidRDefault="00A943D6" w:rsidP="00A943D6">
      <w:pPr>
        <w:pStyle w:val="paragraph"/>
        <w:spacing w:before="0" w:beforeAutospacing="0" w:after="0" w:afterAutospacing="0"/>
        <w:ind w:left="-1710" w:right="720"/>
        <w:textAlignment w:val="baseline"/>
        <w:rPr>
          <w:rStyle w:val="eop"/>
          <w:rFonts w:ascii="Verdana" w:hAnsi="Verdana" w:cs="Segoe UI"/>
          <w:sz w:val="18"/>
          <w:szCs w:val="18"/>
        </w:rPr>
      </w:pPr>
      <w:r>
        <w:rPr>
          <w:rStyle w:val="normaltextrun"/>
          <w:rFonts w:ascii="Verdana" w:hAnsi="Verdana" w:cs="Segoe UI"/>
          <w:sz w:val="18"/>
          <w:szCs w:val="18"/>
        </w:rPr>
        <w:t xml:space="preserve">Section 28B addresses providing a copy of the notice to persons who appear to be affected by the decision. We will agree with you a suitable strategy for providing a copy of the notice to the customers whose agreements were the subject of the Application. We will also consider whether any further action should be taken, in light of the specific facts and circumstances. </w:t>
      </w:r>
      <w:r>
        <w:rPr>
          <w:rStyle w:val="eop"/>
          <w:rFonts w:ascii="Verdana" w:hAnsi="Verdana" w:cs="Segoe UI"/>
          <w:sz w:val="18"/>
          <w:szCs w:val="18"/>
        </w:rPr>
        <w:t> </w:t>
      </w:r>
    </w:p>
    <w:p w14:paraId="0BC6F93C"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p>
    <w:p w14:paraId="6B5424FF"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b/>
          <w:bCs/>
          <w:sz w:val="18"/>
          <w:szCs w:val="18"/>
        </w:rPr>
        <w:t>Challenging the FCA’s decision</w:t>
      </w:r>
      <w:r>
        <w:rPr>
          <w:rStyle w:val="eop"/>
          <w:rFonts w:ascii="Verdana" w:hAnsi="Verdana" w:cs="Segoe UI"/>
          <w:sz w:val="18"/>
          <w:szCs w:val="18"/>
        </w:rPr>
        <w:t> </w:t>
      </w:r>
    </w:p>
    <w:p w14:paraId="161C3F4E"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p>
    <w:p w14:paraId="54B53FC4"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Under s28B(3) of the Act, any person who is aggrieved by the Authority's determination of the Application (which may include the Firm or a Customer) has the right to refer the matter to the Upper Tribunal (formerly known as the Financial Services and Markets Tribunal). The Authority determines the Application by way of the final Notice of Determination. </w:t>
      </w:r>
      <w:r>
        <w:rPr>
          <w:rStyle w:val="eop"/>
          <w:rFonts w:ascii="Verdana" w:hAnsi="Verdana" w:cs="Segoe UI"/>
          <w:sz w:val="18"/>
          <w:szCs w:val="18"/>
        </w:rPr>
        <w:t> </w:t>
      </w:r>
    </w:p>
    <w:p w14:paraId="485C3764"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14C5D478"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lastRenderedPageBreak/>
        <w:t>Paragraph 2(2) of Schedule 3 of the Tribunal Procedure (Upper Tribunal) Rules 2008 provides that any person wishing to refer a determination to the Upper Tribunal will have 28 days from the date after notice was given of the Authority’s determination to deliver their reference notice to the Upper Tribunal.  </w:t>
      </w:r>
      <w:r>
        <w:rPr>
          <w:rStyle w:val="eop"/>
          <w:rFonts w:ascii="Verdana" w:hAnsi="Verdana" w:cs="Segoe UI"/>
          <w:sz w:val="18"/>
          <w:szCs w:val="18"/>
        </w:rPr>
        <w:t> </w:t>
      </w:r>
    </w:p>
    <w:p w14:paraId="0474AA9B"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eop"/>
          <w:rFonts w:ascii="Verdana" w:hAnsi="Verdana" w:cs="Segoe UI"/>
          <w:sz w:val="18"/>
          <w:szCs w:val="18"/>
        </w:rPr>
        <w:t> </w:t>
      </w:r>
    </w:p>
    <w:p w14:paraId="0AC1B9D4" w14:textId="77777777" w:rsidR="00A943D6" w:rsidRPr="00AF3BF5" w:rsidRDefault="00A943D6" w:rsidP="00A943D6">
      <w:pPr>
        <w:pStyle w:val="paragraph"/>
        <w:spacing w:before="0" w:beforeAutospacing="0" w:after="0" w:afterAutospacing="0"/>
        <w:ind w:left="-1710" w:right="720"/>
        <w:textAlignment w:val="baseline"/>
        <w:rPr>
          <w:rFonts w:ascii="Verdana" w:hAnsi="Verdana" w:cs="Segoe UI"/>
          <w:sz w:val="18"/>
          <w:szCs w:val="18"/>
        </w:rPr>
      </w:pPr>
      <w:r>
        <w:rPr>
          <w:rStyle w:val="normaltextrun"/>
          <w:rFonts w:ascii="Verdana" w:hAnsi="Verdana" w:cs="Segoe UI"/>
          <w:sz w:val="18"/>
          <w:szCs w:val="18"/>
        </w:rPr>
        <w:t xml:space="preserve">For further information please refer to the Upper Tribunal website: </w:t>
      </w:r>
      <w:hyperlink r:id="rId17" w:tgtFrame="_blank" w:history="1">
        <w:r>
          <w:rPr>
            <w:rStyle w:val="normaltextrun"/>
            <w:rFonts w:ascii="Verdana" w:hAnsi="Verdana" w:cs="Segoe UI"/>
            <w:color w:val="4472C4"/>
            <w:sz w:val="18"/>
            <w:szCs w:val="18"/>
            <w:u w:val="single"/>
          </w:rPr>
          <w:t>http://hmctsformfinder.justice.gov.uk/courtfinder/forms/t400-eng.pdf</w:t>
        </w:r>
      </w:hyperlink>
      <w:r>
        <w:rPr>
          <w:rStyle w:val="eop"/>
          <w:rFonts w:ascii="Verdana" w:hAnsi="Verdana" w:cs="Segoe UI"/>
          <w:color w:val="4472C4"/>
          <w:sz w:val="18"/>
          <w:szCs w:val="18"/>
        </w:rPr>
        <w:t> </w:t>
      </w:r>
    </w:p>
    <w:p w14:paraId="4502B25D" w14:textId="77777777" w:rsidR="00A943D6" w:rsidRPr="004874FB" w:rsidRDefault="00A943D6" w:rsidP="00A943D6">
      <w:pPr>
        <w:pStyle w:val="Qsheading1"/>
        <w:ind w:left="-1701" w:right="731"/>
        <w:rPr>
          <w:rFonts w:ascii="Verdana" w:hAnsi="Verdana"/>
        </w:rPr>
      </w:pPr>
      <w:r w:rsidRPr="004874FB">
        <w:rPr>
          <w:rFonts w:ascii="Verdana" w:hAnsi="Verdana"/>
        </w:rPr>
        <w:t>Other unenforceability</w:t>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r w:rsidRPr="00AF3BF5">
        <w:rPr>
          <w:rFonts w:ascii="Verdana" w:hAnsi="Verdana"/>
        </w:rPr>
        <w:tab/>
      </w:r>
    </w:p>
    <w:p w14:paraId="1381640B" w14:textId="77777777" w:rsidR="00A943D6" w:rsidRDefault="00A943D6" w:rsidP="00A943D6">
      <w:pPr>
        <w:pStyle w:val="Questionnote"/>
        <w:ind w:left="-1701"/>
        <w:rPr>
          <w:rFonts w:ascii="Verdana" w:hAnsi="Verdana"/>
        </w:rPr>
      </w:pPr>
      <w:r w:rsidRPr="004874FB">
        <w:rPr>
          <w:rFonts w:ascii="Verdana" w:hAnsi="Verdana"/>
        </w:rPr>
        <w:t>A validation order makes the agreement potentially enforceable against the customer, by removing the FSMA bar to enforcement</w:t>
      </w:r>
      <w:r w:rsidRPr="00EE126E">
        <w:rPr>
          <w:rFonts w:ascii="Verdana" w:hAnsi="Verdana"/>
          <w:color w:val="000000"/>
          <w:szCs w:val="18"/>
          <w:shd w:val="clear" w:color="auto" w:fill="FFFFFF"/>
        </w:rPr>
        <w:t xml:space="preserve"> </w:t>
      </w:r>
      <w:r>
        <w:rPr>
          <w:rStyle w:val="normaltextrun"/>
          <w:rFonts w:ascii="Verdana" w:hAnsi="Verdana"/>
          <w:color w:val="000000"/>
          <w:szCs w:val="18"/>
          <w:shd w:val="clear" w:color="auto" w:fill="FFFFFF"/>
        </w:rPr>
        <w:t>(or, for agreements entered into pre-April 2014, the bars to enforcement referred to in regs 48, 48A and 48B of SI 2013/1881</w:t>
      </w:r>
      <w:r w:rsidRPr="00AF3BF5">
        <w:rPr>
          <w:rStyle w:val="normaltextrun"/>
          <w:rFonts w:ascii="Verdana" w:hAnsi="Verdana"/>
          <w:color w:val="000000"/>
          <w:szCs w:val="18"/>
          <w:shd w:val="clear" w:color="auto" w:fill="FFFFFF"/>
        </w:rPr>
        <w:t>).</w:t>
      </w:r>
      <w:r w:rsidRPr="004874FB">
        <w:rPr>
          <w:rFonts w:ascii="Verdana" w:hAnsi="Verdana"/>
        </w:rPr>
        <w:t xml:space="preserve"> However, it does not correct any other deficiencies which may make the agreement unenforceable under other legislation. </w:t>
      </w:r>
    </w:p>
    <w:p w14:paraId="65E7ADB2" w14:textId="77777777" w:rsidR="00A943D6" w:rsidRPr="004874FB" w:rsidRDefault="00A943D6" w:rsidP="00A943D6">
      <w:pPr>
        <w:pStyle w:val="Questionnote"/>
        <w:ind w:left="-1701"/>
        <w:rPr>
          <w:rFonts w:ascii="Verdana" w:hAnsi="Verdana"/>
        </w:rPr>
      </w:pPr>
    </w:p>
    <w:p w14:paraId="03FF6C3F" w14:textId="77777777" w:rsidR="00A943D6" w:rsidRDefault="00A943D6" w:rsidP="00A943D6">
      <w:pPr>
        <w:pStyle w:val="Questionnote"/>
        <w:ind w:left="-1701"/>
        <w:rPr>
          <w:rFonts w:ascii="Verdana" w:hAnsi="Verdana"/>
        </w:rPr>
      </w:pPr>
      <w:r w:rsidRPr="004874FB">
        <w:rPr>
          <w:rFonts w:ascii="Verdana" w:hAnsi="Verdana"/>
        </w:rPr>
        <w:t>In particular, an agreement may be unenforceable under the CCA without a court order (for example, because it was improperly executed) or until the breach is remedied (for example, because post-contractual statements and notices were not provided or were not compliant). In the latter case, the lender may also not be entitled to interest and default sums in respect of the period of non-compliance.</w:t>
      </w:r>
    </w:p>
    <w:p w14:paraId="78E8538C" w14:textId="77777777" w:rsidR="00A943D6" w:rsidRPr="004874FB" w:rsidRDefault="00A943D6" w:rsidP="00A943D6">
      <w:pPr>
        <w:pStyle w:val="Questionnote"/>
        <w:ind w:left="-1701"/>
        <w:rPr>
          <w:rFonts w:ascii="Verdana" w:hAnsi="Verdana"/>
        </w:rPr>
      </w:pPr>
    </w:p>
    <w:p w14:paraId="03DA1793" w14:textId="77777777" w:rsidR="00A943D6" w:rsidRPr="004874FB" w:rsidRDefault="00A943D6" w:rsidP="00A943D6">
      <w:pPr>
        <w:pStyle w:val="Questionnote"/>
        <w:ind w:left="-1701"/>
        <w:rPr>
          <w:rFonts w:ascii="Verdana" w:hAnsi="Verdana"/>
        </w:rPr>
      </w:pPr>
      <w:r w:rsidRPr="004874FB">
        <w:rPr>
          <w:rFonts w:ascii="Verdana" w:hAnsi="Verdana"/>
        </w:rPr>
        <w:t>The firm should consider seeking legal advice as to its position with regard to any CCA non-compliance, and what steps it may need to take to remedy this. It should not in any case mislead customers as to the legal status of the agreement.</w:t>
      </w:r>
    </w:p>
    <w:p w14:paraId="60C723AA" w14:textId="77777777" w:rsidR="00A943D6" w:rsidRPr="00AF3BF5" w:rsidRDefault="00A943D6" w:rsidP="00A943D6">
      <w:pPr>
        <w:pStyle w:val="Questionnote"/>
        <w:ind w:left="-1701"/>
        <w:rPr>
          <w:rFonts w:ascii="Verdana" w:hAnsi="Verdana"/>
        </w:rPr>
      </w:pPr>
    </w:p>
    <w:p w14:paraId="52B0129D" w14:textId="77777777" w:rsidR="00A943D6" w:rsidRPr="00AF3BF5" w:rsidRDefault="00A943D6" w:rsidP="00A943D6">
      <w:pPr>
        <w:pStyle w:val="Questionnote"/>
        <w:ind w:left="-1701"/>
        <w:rPr>
          <w:rFonts w:ascii="Verdana" w:hAnsi="Verdana"/>
          <w:b/>
          <w:sz w:val="22"/>
          <w:szCs w:val="24"/>
        </w:rPr>
      </w:pPr>
      <w:r w:rsidRPr="00AF3BF5">
        <w:rPr>
          <w:rFonts w:ascii="Verdana" w:hAnsi="Verdana"/>
          <w:b/>
          <w:bCs/>
          <w:sz w:val="22"/>
          <w:szCs w:val="24"/>
        </w:rPr>
        <w:t>Fees</w:t>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r w:rsidRPr="00AF3BF5">
        <w:rPr>
          <w:rFonts w:ascii="Verdana" w:hAnsi="Verdana"/>
          <w:b/>
          <w:bCs/>
          <w:sz w:val="22"/>
          <w:szCs w:val="24"/>
        </w:rPr>
        <w:tab/>
      </w:r>
    </w:p>
    <w:p w14:paraId="47C6F36A" w14:textId="77777777" w:rsidR="00A943D6" w:rsidRDefault="00A943D6" w:rsidP="00A943D6">
      <w:pPr>
        <w:pStyle w:val="ListParagraph"/>
        <w:spacing w:after="120" w:line="240" w:lineRule="auto"/>
        <w:ind w:left="-1701" w:right="306"/>
        <w:rPr>
          <w:rFonts w:ascii="Verdana" w:hAnsi="Verdana"/>
          <w:sz w:val="18"/>
          <w:szCs w:val="18"/>
        </w:rPr>
      </w:pPr>
      <w:r>
        <w:rPr>
          <w:rFonts w:ascii="Verdana" w:hAnsi="Verdana"/>
          <w:sz w:val="18"/>
          <w:szCs w:val="18"/>
        </w:rPr>
        <w:t>Validation orders are charged in two stages, in line with the 2-stage process.</w:t>
      </w:r>
    </w:p>
    <w:p w14:paraId="3675164E" w14:textId="77777777" w:rsidR="00A943D6" w:rsidRDefault="00A943D6" w:rsidP="00A943D6">
      <w:pPr>
        <w:pStyle w:val="ListParagraph"/>
        <w:spacing w:after="120" w:line="240" w:lineRule="auto"/>
        <w:ind w:left="-1701" w:right="306"/>
        <w:rPr>
          <w:rFonts w:ascii="Verdana" w:hAnsi="Verdana"/>
          <w:sz w:val="18"/>
          <w:szCs w:val="18"/>
        </w:rPr>
      </w:pPr>
    </w:p>
    <w:p w14:paraId="44E57E49" w14:textId="77777777" w:rsidR="00A943D6" w:rsidRPr="00A943D6" w:rsidRDefault="00A943D6" w:rsidP="00A943D6">
      <w:pPr>
        <w:pStyle w:val="ListParagraph"/>
        <w:spacing w:after="120" w:line="240" w:lineRule="auto"/>
        <w:ind w:left="-1701" w:right="306"/>
        <w:rPr>
          <w:rFonts w:ascii="Verdana" w:hAnsi="Verdana"/>
          <w:b/>
          <w:bCs/>
          <w:sz w:val="18"/>
          <w:szCs w:val="18"/>
        </w:rPr>
      </w:pPr>
      <w:r w:rsidRPr="00A943D6">
        <w:rPr>
          <w:rFonts w:ascii="Verdana" w:hAnsi="Verdana"/>
          <w:b/>
          <w:bCs/>
          <w:sz w:val="18"/>
          <w:szCs w:val="18"/>
        </w:rPr>
        <w:t>Stage 1 fees</w:t>
      </w:r>
    </w:p>
    <w:p w14:paraId="01DA17A4" w14:textId="77777777" w:rsidR="00A943D6" w:rsidRDefault="00A943D6" w:rsidP="00A943D6">
      <w:pPr>
        <w:pStyle w:val="ListParagraph"/>
        <w:spacing w:after="120" w:line="240" w:lineRule="auto"/>
        <w:ind w:left="-1701" w:right="306"/>
        <w:rPr>
          <w:rFonts w:ascii="Verdana" w:hAnsi="Verdana"/>
          <w:sz w:val="18"/>
          <w:szCs w:val="18"/>
        </w:rPr>
      </w:pPr>
      <w:r>
        <w:rPr>
          <w:rFonts w:ascii="Verdana" w:hAnsi="Verdana"/>
          <w:sz w:val="18"/>
          <w:szCs w:val="18"/>
        </w:rPr>
        <w:t>The stage 1 fee is based on the number of third parties used by the applicant firm at the time of entering into the agreements (for example, how many credit brokers, or Appointed Representatives (ARs):</w:t>
      </w:r>
    </w:p>
    <w:p w14:paraId="26C9B1B7" w14:textId="77777777" w:rsidR="00A943D6" w:rsidRDefault="00A943D6" w:rsidP="00A943D6">
      <w:pPr>
        <w:pStyle w:val="ListParagraph"/>
        <w:spacing w:after="120" w:line="240" w:lineRule="auto"/>
        <w:ind w:left="-1701" w:right="306"/>
        <w:rPr>
          <w:rFonts w:ascii="Verdana" w:hAnsi="Verdana"/>
          <w:sz w:val="18"/>
          <w:szCs w:val="18"/>
        </w:rPr>
      </w:pPr>
    </w:p>
    <w:tbl>
      <w:tblPr>
        <w:tblStyle w:val="TableGrid"/>
        <w:tblW w:w="0" w:type="auto"/>
        <w:tblInd w:w="-1655" w:type="dxa"/>
        <w:tblLook w:val="04A0" w:firstRow="1" w:lastRow="0" w:firstColumn="1" w:lastColumn="0" w:noHBand="0" w:noVBand="1"/>
      </w:tblPr>
      <w:tblGrid>
        <w:gridCol w:w="3904"/>
        <w:gridCol w:w="1431"/>
      </w:tblGrid>
      <w:tr w:rsidR="00A943D6" w:rsidRPr="003146BD" w14:paraId="0D02488D" w14:textId="77777777" w:rsidTr="002528D3">
        <w:tc>
          <w:tcPr>
            <w:tcW w:w="3904" w:type="dxa"/>
          </w:tcPr>
          <w:p w14:paraId="22B389BC" w14:textId="77777777" w:rsidR="00A943D6" w:rsidRPr="003146BD" w:rsidRDefault="00A943D6" w:rsidP="002528D3">
            <w:pPr>
              <w:pStyle w:val="ListParagraph"/>
              <w:spacing w:after="120" w:line="240" w:lineRule="auto"/>
              <w:ind w:left="0" w:right="306"/>
              <w:rPr>
                <w:rFonts w:ascii="Verdana" w:hAnsi="Verdana"/>
                <w:b/>
                <w:bCs/>
                <w:sz w:val="18"/>
                <w:szCs w:val="18"/>
              </w:rPr>
            </w:pPr>
            <w:r>
              <w:rPr>
                <w:rFonts w:ascii="Verdana" w:hAnsi="Verdana"/>
                <w:b/>
                <w:bCs/>
                <w:sz w:val="18"/>
                <w:szCs w:val="18"/>
              </w:rPr>
              <w:t>Number of third parties used</w:t>
            </w:r>
          </w:p>
        </w:tc>
        <w:tc>
          <w:tcPr>
            <w:tcW w:w="1431" w:type="dxa"/>
          </w:tcPr>
          <w:p w14:paraId="5CB7AA04" w14:textId="77777777" w:rsidR="00A943D6" w:rsidRPr="003146BD" w:rsidRDefault="00A943D6" w:rsidP="002528D3">
            <w:pPr>
              <w:pStyle w:val="ListParagraph"/>
              <w:spacing w:after="120" w:line="240" w:lineRule="auto"/>
              <w:ind w:left="0" w:right="306"/>
              <w:rPr>
                <w:rFonts w:ascii="Verdana" w:hAnsi="Verdana"/>
                <w:b/>
                <w:bCs/>
                <w:sz w:val="18"/>
                <w:szCs w:val="18"/>
              </w:rPr>
            </w:pPr>
            <w:r>
              <w:rPr>
                <w:rFonts w:ascii="Verdana" w:hAnsi="Verdana"/>
                <w:b/>
                <w:bCs/>
                <w:sz w:val="18"/>
                <w:szCs w:val="18"/>
              </w:rPr>
              <w:t>Fee</w:t>
            </w:r>
          </w:p>
        </w:tc>
      </w:tr>
      <w:tr w:rsidR="00A943D6" w:rsidRPr="003146BD" w14:paraId="1148622E" w14:textId="77777777" w:rsidTr="002528D3">
        <w:tc>
          <w:tcPr>
            <w:tcW w:w="3904" w:type="dxa"/>
          </w:tcPr>
          <w:p w14:paraId="2BA60EAF" w14:textId="77777777" w:rsidR="00A943D6" w:rsidRPr="003146BD"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0-1</w:t>
            </w:r>
          </w:p>
        </w:tc>
        <w:tc>
          <w:tcPr>
            <w:tcW w:w="1431" w:type="dxa"/>
          </w:tcPr>
          <w:p w14:paraId="1C8E11AA" w14:textId="77777777" w:rsidR="00A943D6" w:rsidRPr="003146BD"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£1,000</w:t>
            </w:r>
          </w:p>
        </w:tc>
      </w:tr>
      <w:tr w:rsidR="00A943D6" w:rsidRPr="003146BD" w14:paraId="40231444" w14:textId="77777777" w:rsidTr="002528D3">
        <w:tc>
          <w:tcPr>
            <w:tcW w:w="3904" w:type="dxa"/>
          </w:tcPr>
          <w:p w14:paraId="20EB33C3" w14:textId="77777777" w:rsidR="00A943D6" w:rsidRPr="003146BD"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2-3</w:t>
            </w:r>
          </w:p>
        </w:tc>
        <w:tc>
          <w:tcPr>
            <w:tcW w:w="1431" w:type="dxa"/>
          </w:tcPr>
          <w:p w14:paraId="7A2D8A64" w14:textId="77777777" w:rsidR="00A943D6" w:rsidRPr="003146BD"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£2,500</w:t>
            </w:r>
          </w:p>
        </w:tc>
      </w:tr>
      <w:tr w:rsidR="00A943D6" w:rsidRPr="003146BD" w14:paraId="2984FC43" w14:textId="77777777" w:rsidTr="002528D3">
        <w:tc>
          <w:tcPr>
            <w:tcW w:w="3904" w:type="dxa"/>
          </w:tcPr>
          <w:p w14:paraId="1CCD4AF3" w14:textId="77777777" w:rsidR="00A943D6" w:rsidRPr="003146BD"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4-10</w:t>
            </w:r>
          </w:p>
        </w:tc>
        <w:tc>
          <w:tcPr>
            <w:tcW w:w="1431" w:type="dxa"/>
          </w:tcPr>
          <w:p w14:paraId="0AC10261" w14:textId="77777777" w:rsidR="00A943D6" w:rsidRPr="003146BD"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£5,000</w:t>
            </w:r>
          </w:p>
        </w:tc>
      </w:tr>
      <w:tr w:rsidR="00A943D6" w:rsidRPr="003146BD" w14:paraId="67693440" w14:textId="77777777" w:rsidTr="002528D3">
        <w:tc>
          <w:tcPr>
            <w:tcW w:w="3904" w:type="dxa"/>
          </w:tcPr>
          <w:p w14:paraId="6DCE5294" w14:textId="77777777" w:rsidR="00A943D6"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11+</w:t>
            </w:r>
          </w:p>
        </w:tc>
        <w:tc>
          <w:tcPr>
            <w:tcW w:w="1431" w:type="dxa"/>
          </w:tcPr>
          <w:p w14:paraId="1F42F978" w14:textId="77777777" w:rsidR="00A943D6" w:rsidRDefault="00A943D6" w:rsidP="002528D3">
            <w:pPr>
              <w:pStyle w:val="ListParagraph"/>
              <w:spacing w:after="120" w:line="240" w:lineRule="auto"/>
              <w:ind w:left="0" w:right="306"/>
              <w:rPr>
                <w:rFonts w:ascii="Verdana" w:hAnsi="Verdana"/>
                <w:sz w:val="18"/>
                <w:szCs w:val="18"/>
              </w:rPr>
            </w:pPr>
            <w:r>
              <w:rPr>
                <w:rFonts w:ascii="Verdana" w:hAnsi="Verdana"/>
                <w:sz w:val="18"/>
                <w:szCs w:val="18"/>
              </w:rPr>
              <w:t>£7,500</w:t>
            </w:r>
          </w:p>
        </w:tc>
      </w:tr>
    </w:tbl>
    <w:p w14:paraId="2DA3B719" w14:textId="77777777" w:rsidR="00A943D6" w:rsidRDefault="00A943D6" w:rsidP="00A943D6">
      <w:pPr>
        <w:ind w:left="-1701"/>
        <w:rPr>
          <w:rFonts w:ascii="Verdana" w:eastAsia="Verdana" w:hAnsi="Verdana" w:cs="Verdana"/>
          <w:color w:val="3F3F3F"/>
          <w:sz w:val="18"/>
          <w:szCs w:val="18"/>
        </w:rPr>
      </w:pPr>
    </w:p>
    <w:p w14:paraId="7CB40575" w14:textId="77777777" w:rsidR="00A943D6" w:rsidRDefault="00A943D6" w:rsidP="00A943D6">
      <w:pPr>
        <w:ind w:left="-1701"/>
        <w:rPr>
          <w:rFonts w:ascii="Verdana" w:eastAsia="Verdana" w:hAnsi="Verdana" w:cs="Verdana"/>
          <w:color w:val="3F3F3F"/>
          <w:sz w:val="18"/>
          <w:szCs w:val="18"/>
        </w:rPr>
      </w:pPr>
      <w:r>
        <w:rPr>
          <w:rFonts w:ascii="Verdana" w:eastAsia="Verdana" w:hAnsi="Verdana" w:cs="Verdana"/>
          <w:color w:val="3F3F3F"/>
          <w:sz w:val="18"/>
          <w:szCs w:val="18"/>
        </w:rPr>
        <w:t xml:space="preserve">These fees also apply to unauthorised firms. If your firm was unauthorised and did not use any third parties, the application fee would be £1,000. This is because no third parties were used.  </w:t>
      </w:r>
    </w:p>
    <w:p w14:paraId="21424F5E" w14:textId="77777777" w:rsidR="00A943D6" w:rsidRDefault="00A943D6" w:rsidP="00A943D6">
      <w:pPr>
        <w:pStyle w:val="Questionnote"/>
        <w:rPr>
          <w:rFonts w:ascii="Verdana" w:hAnsi="Verdana"/>
        </w:rPr>
      </w:pPr>
    </w:p>
    <w:p w14:paraId="07EB985A" w14:textId="77777777" w:rsidR="00A943D6" w:rsidRDefault="00A943D6" w:rsidP="00A943D6">
      <w:pPr>
        <w:pStyle w:val="Questionnote"/>
        <w:ind w:left="-1701"/>
        <w:rPr>
          <w:rFonts w:ascii="Verdana" w:hAnsi="Verdana"/>
        </w:rPr>
      </w:pPr>
      <w:r w:rsidRPr="004874FB">
        <w:rPr>
          <w:rFonts w:ascii="Verdana" w:hAnsi="Verdana"/>
        </w:rPr>
        <w:t xml:space="preserve">If completing </w:t>
      </w:r>
      <w:r>
        <w:rPr>
          <w:rFonts w:ascii="Verdana" w:hAnsi="Verdana"/>
        </w:rPr>
        <w:t>both a pre-1 April 2014 and post-1 April 2014 application form</w:t>
      </w:r>
      <w:r w:rsidRPr="004874FB">
        <w:rPr>
          <w:rFonts w:ascii="Verdana" w:hAnsi="Verdana"/>
        </w:rPr>
        <w:t xml:space="preserve">, only one fee needs to be submitted </w:t>
      </w:r>
      <w:r>
        <w:rPr>
          <w:rFonts w:ascii="Verdana" w:hAnsi="Verdana"/>
        </w:rPr>
        <w:t>for the total number of third parties if the application forms relate to the same set of circumstances.</w:t>
      </w:r>
    </w:p>
    <w:p w14:paraId="744067F2" w14:textId="77777777" w:rsidR="00A943D6" w:rsidRDefault="00A943D6" w:rsidP="00A943D6">
      <w:pPr>
        <w:pStyle w:val="Questionnote"/>
        <w:ind w:left="-1701"/>
        <w:rPr>
          <w:rFonts w:ascii="Verdana" w:hAnsi="Verdana"/>
        </w:rPr>
      </w:pPr>
    </w:p>
    <w:p w14:paraId="73A9478C" w14:textId="77777777" w:rsidR="00A943D6" w:rsidRDefault="00A943D6">
      <w:pPr>
        <w:spacing w:before="0" w:line="240" w:lineRule="auto"/>
        <w:rPr>
          <w:rFonts w:ascii="Verdana" w:hAnsi="Verdana"/>
          <w:sz w:val="18"/>
        </w:rPr>
      </w:pPr>
      <w:r>
        <w:rPr>
          <w:rFonts w:ascii="Verdana" w:hAnsi="Verdana"/>
        </w:rPr>
        <w:br w:type="page"/>
      </w:r>
    </w:p>
    <w:p w14:paraId="65E0920B" w14:textId="29D1E0C9" w:rsidR="00A943D6" w:rsidRDefault="00A943D6" w:rsidP="00A943D6">
      <w:pPr>
        <w:pStyle w:val="Questionnote"/>
        <w:ind w:left="-1701"/>
        <w:rPr>
          <w:rFonts w:ascii="Verdana" w:hAnsi="Verdana"/>
        </w:rPr>
      </w:pPr>
      <w:r w:rsidRPr="00A943D6">
        <w:rPr>
          <w:rFonts w:ascii="Verdana" w:hAnsi="Verdana"/>
          <w:b/>
          <w:bCs/>
        </w:rPr>
        <w:lastRenderedPageBreak/>
        <w:t>Stage 2</w:t>
      </w:r>
      <w:r>
        <w:rPr>
          <w:rFonts w:ascii="Verdana" w:hAnsi="Verdana"/>
        </w:rPr>
        <w:t xml:space="preserve"> </w:t>
      </w:r>
      <w:r w:rsidRPr="00A943D6">
        <w:rPr>
          <w:rFonts w:ascii="Verdana" w:hAnsi="Verdana"/>
          <w:b/>
          <w:bCs/>
        </w:rPr>
        <w:t>fees</w:t>
      </w:r>
    </w:p>
    <w:p w14:paraId="734F95D2" w14:textId="77777777" w:rsidR="00A943D6" w:rsidRDefault="00A943D6" w:rsidP="00A943D6">
      <w:pPr>
        <w:pStyle w:val="Questionnote"/>
        <w:ind w:left="-1701"/>
        <w:rPr>
          <w:rFonts w:ascii="Verdana" w:hAnsi="Verdana"/>
        </w:rPr>
      </w:pPr>
    </w:p>
    <w:p w14:paraId="4F3393B9" w14:textId="77777777" w:rsidR="00A943D6" w:rsidRDefault="00A943D6" w:rsidP="00A943D6">
      <w:pPr>
        <w:pStyle w:val="Questionnote"/>
        <w:ind w:left="-1701"/>
        <w:rPr>
          <w:rFonts w:ascii="Verdana" w:hAnsi="Verdana"/>
        </w:rPr>
      </w:pPr>
      <w:r>
        <w:rPr>
          <w:rFonts w:ascii="Verdana" w:hAnsi="Verdana"/>
        </w:rPr>
        <w:t>The time and costs involved in assessing Stage 2 of the application can vary significantly for each VO application.</w:t>
      </w:r>
    </w:p>
    <w:p w14:paraId="08B6F28F" w14:textId="77777777" w:rsidR="00A943D6" w:rsidRDefault="00A943D6" w:rsidP="00A943D6">
      <w:pPr>
        <w:pStyle w:val="Questionnote"/>
        <w:ind w:left="-1701"/>
        <w:rPr>
          <w:rFonts w:ascii="Verdana" w:hAnsi="Verdana"/>
        </w:rPr>
      </w:pPr>
    </w:p>
    <w:p w14:paraId="6D83FCF6" w14:textId="77777777" w:rsidR="00A943D6" w:rsidRDefault="00A943D6" w:rsidP="00A943D6">
      <w:pPr>
        <w:pStyle w:val="Questionnote"/>
        <w:ind w:left="-1701"/>
        <w:rPr>
          <w:rFonts w:ascii="Verdana" w:hAnsi="Verdana"/>
        </w:rPr>
      </w:pPr>
      <w:r>
        <w:rPr>
          <w:rFonts w:ascii="Verdana" w:hAnsi="Verdana"/>
        </w:rPr>
        <w:t xml:space="preserve">Firms will be charged a Validation Order Project Fee (VOPF) for Stage 2 of the application. This will capture all time and costs allocated to the Stage 2 assessment by the FCA, up until we issue a notice of determination. This includes any fees and disbursements invoiced to us by external persons to assist in the Stage 2 assessment. The hourly rates are set according to the prevailing rate for the Special Project Fee for Restructuring in </w:t>
      </w:r>
      <w:hyperlink r:id="rId18" w:history="1">
        <w:r>
          <w:rPr>
            <w:rStyle w:val="Hyperlink"/>
            <w:rFonts w:ascii="Verdana" w:hAnsi="Verdana"/>
          </w:rPr>
          <w:t>FEES 3 Annex 9 (11)R</w:t>
        </w:r>
      </w:hyperlink>
      <w:r>
        <w:rPr>
          <w:rFonts w:ascii="Verdana" w:hAnsi="Verdana"/>
        </w:rPr>
        <w:t xml:space="preserve">. </w:t>
      </w:r>
    </w:p>
    <w:p w14:paraId="7B8C5F3A" w14:textId="77777777" w:rsidR="00A943D6" w:rsidRDefault="00A943D6" w:rsidP="00A943D6">
      <w:pPr>
        <w:pStyle w:val="Questionnote"/>
        <w:ind w:left="-1701"/>
        <w:rPr>
          <w:rFonts w:ascii="Verdana" w:hAnsi="Verdana"/>
        </w:rPr>
      </w:pPr>
    </w:p>
    <w:p w14:paraId="532E29A2" w14:textId="77777777" w:rsidR="00A943D6" w:rsidRDefault="00A943D6" w:rsidP="00A943D6">
      <w:pPr>
        <w:pStyle w:val="Questionnote"/>
        <w:ind w:left="-1701"/>
        <w:rPr>
          <w:rFonts w:ascii="Verdana" w:hAnsi="Verdana"/>
        </w:rPr>
      </w:pPr>
      <w:r>
        <w:rPr>
          <w:rFonts w:ascii="Verdana" w:hAnsi="Verdana"/>
        </w:rPr>
        <w:t xml:space="preserve">We will give you a non-binding estimate of what the final costs might be at the start of Stage 2. We will keep you informed of changes to the VOPF costs throughout this stage of the application. </w:t>
      </w:r>
    </w:p>
    <w:p w14:paraId="2D00058B" w14:textId="77777777" w:rsidR="00A943D6" w:rsidRDefault="00A943D6" w:rsidP="00A943D6">
      <w:pPr>
        <w:pStyle w:val="Questionnote"/>
        <w:ind w:left="-1701"/>
        <w:rPr>
          <w:rFonts w:ascii="Verdana" w:hAnsi="Verdana"/>
        </w:rPr>
      </w:pPr>
    </w:p>
    <w:p w14:paraId="74E1693A" w14:textId="77777777" w:rsidR="00A943D6" w:rsidRDefault="00A943D6" w:rsidP="00A943D6">
      <w:pPr>
        <w:pStyle w:val="Questionnote"/>
        <w:ind w:left="-1701"/>
        <w:rPr>
          <w:rFonts w:ascii="Verdana" w:hAnsi="Verdana"/>
        </w:rPr>
      </w:pPr>
      <w:r>
        <w:rPr>
          <w:rFonts w:ascii="Verdana" w:hAnsi="Verdana"/>
        </w:rPr>
        <w:t xml:space="preserve">We will issue a final invoice once the application is determined (or if you withdraw the application). In some cases, we may also issue interim invoices throughout the assessment of Stage 2 of the application. The fee must be paid within 30 days of us issuing you with an invoice. </w:t>
      </w:r>
    </w:p>
    <w:p w14:paraId="068EDE12" w14:textId="77777777" w:rsidR="00A943D6" w:rsidRDefault="00A943D6" w:rsidP="00A943D6">
      <w:pPr>
        <w:pStyle w:val="Questionnote"/>
        <w:ind w:left="-1701"/>
        <w:rPr>
          <w:rFonts w:ascii="Verdana" w:hAnsi="Verdana"/>
        </w:rPr>
      </w:pPr>
    </w:p>
    <w:p w14:paraId="31E9FFBA" w14:textId="77777777" w:rsidR="00A943D6" w:rsidRDefault="00A943D6" w:rsidP="00A943D6">
      <w:pPr>
        <w:pStyle w:val="Questionnote"/>
        <w:ind w:left="-1701"/>
        <w:rPr>
          <w:rFonts w:ascii="Verdana" w:hAnsi="Verdana"/>
        </w:rPr>
      </w:pPr>
      <w:r>
        <w:rPr>
          <w:rFonts w:ascii="Verdana" w:hAnsi="Verdana"/>
        </w:rPr>
        <w:t xml:space="preserve">If your firm wishes to withdraw the VO application, you can do so at any point. You will only be subject to the costs incurred up to the point of withdrawal. </w:t>
      </w:r>
    </w:p>
    <w:p w14:paraId="79045C55" w14:textId="77777777" w:rsidR="00A943D6" w:rsidRDefault="00A943D6" w:rsidP="00A943D6">
      <w:pPr>
        <w:pStyle w:val="Questionnote"/>
        <w:ind w:left="-1701"/>
        <w:rPr>
          <w:rFonts w:ascii="Verdana" w:hAnsi="Verdana"/>
        </w:rPr>
      </w:pPr>
    </w:p>
    <w:p w14:paraId="375719F2" w14:textId="77777777" w:rsidR="00A943D6" w:rsidRDefault="00A943D6" w:rsidP="00A943D6">
      <w:pPr>
        <w:pStyle w:val="Questionnote"/>
        <w:ind w:left="-1701"/>
        <w:rPr>
          <w:rFonts w:ascii="Verdana" w:hAnsi="Verdana"/>
        </w:rPr>
      </w:pPr>
      <w:r w:rsidRPr="00B14CB8">
        <w:rPr>
          <w:rFonts w:ascii="Verdana" w:hAnsi="Verdana"/>
        </w:rPr>
        <w:t>You can make payment by debit/credit card by calling our Payments Helpline on 020 7066 6014. The line is open 10am-4pm Monday-Friday. If you wish to discuss other payment methods, please speak with your case officer.</w:t>
      </w:r>
    </w:p>
    <w:p w14:paraId="238B3680" w14:textId="77777777" w:rsidR="00A943D6" w:rsidRDefault="00A943D6" w:rsidP="00A943D6">
      <w:pPr>
        <w:pStyle w:val="Questionnote"/>
        <w:ind w:left="-1701"/>
        <w:rPr>
          <w:rFonts w:ascii="Verdana" w:hAnsi="Verdana"/>
        </w:rPr>
      </w:pPr>
    </w:p>
    <w:p w14:paraId="2EB6A152" w14:textId="77777777" w:rsidR="00A943D6" w:rsidRPr="004874FB" w:rsidRDefault="00A943D6" w:rsidP="00A943D6">
      <w:pPr>
        <w:pStyle w:val="Questionnote"/>
        <w:ind w:left="-1701"/>
        <w:rPr>
          <w:rFonts w:ascii="Verdana" w:hAnsi="Verdana"/>
        </w:rPr>
      </w:pPr>
      <w:r w:rsidRPr="00925017">
        <w:rPr>
          <w:rFonts w:ascii="Verdana" w:hAnsi="Verdana"/>
        </w:rPr>
        <w:t>For full details of Validation Order application fees, please refer to FEES 3 Annex 15R (5).</w:t>
      </w:r>
    </w:p>
    <w:p w14:paraId="2F5791F2" w14:textId="77777777" w:rsidR="00A943D6" w:rsidRDefault="00A943D6" w:rsidP="00A943D6">
      <w:pPr>
        <w:pStyle w:val="ListParagraph"/>
        <w:spacing w:before="0" w:after="120" w:line="240" w:lineRule="auto"/>
        <w:ind w:left="-1341"/>
        <w:contextualSpacing/>
        <w:rPr>
          <w:rFonts w:ascii="Verdana" w:hAnsi="Verdana"/>
        </w:rPr>
      </w:pPr>
    </w:p>
    <w:p w14:paraId="09CC755C" w14:textId="77777777" w:rsidR="00192BCE" w:rsidRDefault="00192BCE" w:rsidP="00192BCE">
      <w:pPr>
        <w:pStyle w:val="ListParagraph"/>
        <w:spacing w:before="0" w:after="120" w:line="240" w:lineRule="auto"/>
        <w:ind w:left="-1341"/>
        <w:contextualSpacing/>
        <w:rPr>
          <w:rFonts w:ascii="Verdana" w:hAnsi="Verdana"/>
        </w:rPr>
      </w:pPr>
    </w:p>
    <w:p w14:paraId="6947A408" w14:textId="73806305" w:rsidR="00B35EFA" w:rsidRDefault="00B35EFA" w:rsidP="00F9248E">
      <w:pPr>
        <w:pStyle w:val="ListParagraph"/>
        <w:spacing w:before="0" w:after="120" w:line="240" w:lineRule="auto"/>
        <w:ind w:left="-1341"/>
        <w:contextualSpacing/>
        <w:rPr>
          <w:rFonts w:ascii="Verdana" w:hAnsi="Verdana"/>
        </w:rPr>
      </w:pPr>
    </w:p>
    <w:sectPr w:rsidR="00B35EFA" w:rsidSect="004874FB">
      <w:headerReference w:type="default" r:id="rId19"/>
      <w:footerReference w:type="default" r:id="rId20"/>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667E" w14:textId="77777777" w:rsidR="00916976" w:rsidRDefault="00916976">
      <w:r>
        <w:separator/>
      </w:r>
    </w:p>
  </w:endnote>
  <w:endnote w:type="continuationSeparator" w:id="0">
    <w:p w14:paraId="08EFD7E8" w14:textId="77777777" w:rsidR="00916976" w:rsidRDefault="00916976">
      <w:r>
        <w:continuationSeparator/>
      </w:r>
    </w:p>
  </w:endnote>
  <w:endnote w:type="continuationNotice" w:id="1">
    <w:p w14:paraId="07FFD86D" w14:textId="77777777" w:rsidR="00916976" w:rsidRDefault="0091697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D46" w14:textId="631B2FA9" w:rsidR="00F9248E" w:rsidRPr="00F9248E" w:rsidRDefault="00F9248E" w:rsidP="00F9248E">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355B19FC" wp14:editId="0300995D">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E6B8"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Validation Order Form Notes </w:t>
    </w:r>
    <w:r w:rsidRPr="008C699D">
      <w:rPr>
        <w:rFonts w:ascii="Wingdings" w:eastAsia="Wingdings" w:hAnsi="Wingdings" w:cs="Wingdings"/>
        <w:sz w:val="12"/>
      </w:rPr>
      <w:t>l</w:t>
    </w:r>
    <w:r w:rsidRPr="008C699D">
      <w:rPr>
        <w:sz w:val="16"/>
      </w:rPr>
      <w:t xml:space="preserve"> </w:t>
    </w:r>
    <w:r>
      <w:rPr>
        <w:sz w:val="16"/>
      </w:rPr>
      <w:t xml:space="preserve">Release </w:t>
    </w:r>
    <w:r w:rsidR="000D3F4F">
      <w:rPr>
        <w:sz w:val="16"/>
      </w:rPr>
      <w:t>5</w:t>
    </w:r>
    <w:r>
      <w:rPr>
        <w:sz w:val="16"/>
      </w:rPr>
      <w:t xml:space="preserve"> </w:t>
    </w:r>
    <w:r w:rsidRPr="008C699D">
      <w:rPr>
        <w:rFonts w:ascii="Wingdings" w:eastAsia="Wingdings" w:hAnsi="Wingdings" w:cs="Wingdings"/>
        <w:sz w:val="12"/>
      </w:rPr>
      <w:t>l</w:t>
    </w:r>
    <w:r w:rsidRPr="008C699D">
      <w:rPr>
        <w:sz w:val="16"/>
      </w:rPr>
      <w:t xml:space="preserve"> </w:t>
    </w:r>
    <w:r w:rsidR="000D3F4F">
      <w:rPr>
        <w:sz w:val="16"/>
      </w:rPr>
      <w:t>April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A5DBB">
      <w:rPr>
        <w:rStyle w:val="PageNumber"/>
        <w:b/>
        <w:noProof/>
        <w:sz w:val="16"/>
      </w:rPr>
      <w:t>5</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10E1" w14:textId="77777777" w:rsidR="00916976" w:rsidRDefault="00916976">
      <w:r>
        <w:separator/>
      </w:r>
    </w:p>
  </w:footnote>
  <w:footnote w:type="continuationSeparator" w:id="0">
    <w:p w14:paraId="5F949155" w14:textId="77777777" w:rsidR="00916976" w:rsidRDefault="00916976">
      <w:r>
        <w:continuationSeparator/>
      </w:r>
    </w:p>
  </w:footnote>
  <w:footnote w:type="continuationNotice" w:id="1">
    <w:p w14:paraId="28FD806F" w14:textId="77777777" w:rsidR="00916976" w:rsidRDefault="00916976">
      <w:pPr>
        <w:spacing w:before="0" w:line="240" w:lineRule="auto"/>
      </w:pPr>
    </w:p>
  </w:footnote>
  <w:footnote w:id="2">
    <w:p w14:paraId="30148516" w14:textId="77777777" w:rsidR="00A943D6" w:rsidRPr="006936E0" w:rsidRDefault="00A943D6" w:rsidP="00A943D6">
      <w:pPr>
        <w:pStyle w:val="FootnoteText"/>
        <w:ind w:left="-1985"/>
        <w:rPr>
          <w:rFonts w:ascii="Verdana" w:hAnsi="Verdana"/>
          <w:sz w:val="16"/>
          <w:szCs w:val="16"/>
        </w:rPr>
      </w:pPr>
      <w:r w:rsidRPr="006936E0">
        <w:rPr>
          <w:rStyle w:val="FootnoteReference"/>
          <w:rFonts w:ascii="Verdana" w:hAnsi="Verdana"/>
          <w:sz w:val="16"/>
          <w:szCs w:val="16"/>
        </w:rPr>
        <w:footnoteRef/>
      </w:r>
      <w:r w:rsidRPr="006936E0">
        <w:rPr>
          <w:rFonts w:ascii="Verdana" w:hAnsi="Verdana"/>
          <w:sz w:val="16"/>
          <w:szCs w:val="16"/>
        </w:rPr>
        <w:t xml:space="preserve"> </w:t>
      </w:r>
      <w:r>
        <w:rPr>
          <w:rFonts w:ascii="Verdana" w:hAnsi="Verdana"/>
          <w:sz w:val="16"/>
          <w:szCs w:val="16"/>
        </w:rPr>
        <w:t xml:space="preserve">Entering into a regulated credit agreement as </w:t>
      </w:r>
      <w:proofErr w:type="gramStart"/>
      <w:r>
        <w:rPr>
          <w:rFonts w:ascii="Verdana" w:hAnsi="Verdana"/>
          <w:sz w:val="16"/>
          <w:szCs w:val="16"/>
        </w:rPr>
        <w:t>lender, or</w:t>
      </w:r>
      <w:proofErr w:type="gramEnd"/>
      <w:r>
        <w:rPr>
          <w:rFonts w:ascii="Verdana" w:hAnsi="Verdana"/>
          <w:sz w:val="16"/>
          <w:szCs w:val="16"/>
        </w:rPr>
        <w:t xml:space="preserve"> exercising or having the right to exercise the lender’s rights and duties under a regulated credit agreement.</w:t>
      </w:r>
    </w:p>
  </w:footnote>
  <w:footnote w:id="3">
    <w:p w14:paraId="1E4279FB" w14:textId="77777777" w:rsidR="00A943D6" w:rsidRPr="006936E0" w:rsidRDefault="00A943D6" w:rsidP="00A943D6">
      <w:pPr>
        <w:pStyle w:val="FootnoteText"/>
        <w:ind w:left="-1985"/>
        <w:rPr>
          <w:rFonts w:ascii="Verdana" w:hAnsi="Verdana"/>
          <w:sz w:val="16"/>
          <w:szCs w:val="16"/>
        </w:rPr>
      </w:pPr>
      <w:r w:rsidRPr="006936E0">
        <w:rPr>
          <w:rStyle w:val="FootnoteReference"/>
          <w:rFonts w:ascii="Verdana" w:hAnsi="Verdana"/>
          <w:sz w:val="16"/>
          <w:szCs w:val="16"/>
        </w:rPr>
        <w:footnoteRef/>
      </w:r>
      <w:r w:rsidRPr="006936E0">
        <w:rPr>
          <w:rFonts w:ascii="Verdana" w:hAnsi="Verdana"/>
          <w:sz w:val="16"/>
          <w:szCs w:val="16"/>
        </w:rPr>
        <w:t xml:space="preserve"> </w:t>
      </w:r>
      <w:r>
        <w:rPr>
          <w:rFonts w:ascii="Verdana" w:hAnsi="Verdana"/>
          <w:sz w:val="16"/>
          <w:szCs w:val="16"/>
        </w:rPr>
        <w:t>Financial Services and Markets Act 2000 (Regulated Activities) Order 2001.</w:t>
      </w:r>
    </w:p>
  </w:footnote>
  <w:footnote w:id="4">
    <w:p w14:paraId="774E559E" w14:textId="77777777" w:rsidR="00A943D6" w:rsidRPr="006936E0" w:rsidRDefault="00A943D6" w:rsidP="00A943D6">
      <w:pPr>
        <w:pStyle w:val="FootnoteText"/>
        <w:ind w:left="-1985"/>
        <w:rPr>
          <w:rFonts w:ascii="Verdana" w:hAnsi="Verdana"/>
          <w:sz w:val="16"/>
          <w:szCs w:val="16"/>
        </w:rPr>
      </w:pPr>
      <w:r w:rsidRPr="006936E0">
        <w:rPr>
          <w:rStyle w:val="FootnoteReference"/>
          <w:rFonts w:ascii="Verdana" w:hAnsi="Verdana"/>
          <w:sz w:val="16"/>
          <w:szCs w:val="16"/>
        </w:rPr>
        <w:footnoteRef/>
      </w:r>
      <w:r w:rsidRPr="006936E0">
        <w:rPr>
          <w:rFonts w:ascii="Verdana" w:hAnsi="Verdana"/>
          <w:sz w:val="16"/>
          <w:szCs w:val="16"/>
        </w:rPr>
        <w:t xml:space="preserve"> </w:t>
      </w:r>
      <w:r>
        <w:rPr>
          <w:rFonts w:ascii="Verdana" w:hAnsi="Verdana"/>
          <w:sz w:val="16"/>
          <w:szCs w:val="16"/>
        </w:rPr>
        <w:t>Taking steps to procure the payment of a debt due under a credit agreement or a relevant article 36H agreement (peer-to-peer lending).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7AC0" w14:textId="1D4EB7A3" w:rsidR="00E418DB" w:rsidRDefault="00F9248E" w:rsidP="00DF28A2">
    <w:pPr>
      <w:pStyle w:val="Header"/>
      <w:jc w:val="right"/>
      <w:rPr>
        <w:b/>
        <w:sz w:val="16"/>
      </w:rPr>
    </w:pPr>
    <w:r>
      <w:rPr>
        <w:b/>
        <w:sz w:val="16"/>
      </w:rPr>
      <w:t>Validation Application Forms - Notes</w:t>
    </w:r>
  </w:p>
  <w:p w14:paraId="296EC2B0" w14:textId="77777777" w:rsidR="00E418DB" w:rsidRDefault="00E41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8BD"/>
    <w:multiLevelType w:val="hybridMultilevel"/>
    <w:tmpl w:val="C86C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86025"/>
    <w:multiLevelType w:val="multilevel"/>
    <w:tmpl w:val="7792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17D43"/>
    <w:multiLevelType w:val="multilevel"/>
    <w:tmpl w:val="8A28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17078"/>
    <w:multiLevelType w:val="multilevel"/>
    <w:tmpl w:val="0622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969C5"/>
    <w:multiLevelType w:val="multilevel"/>
    <w:tmpl w:val="DE1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5419F"/>
    <w:multiLevelType w:val="hybridMultilevel"/>
    <w:tmpl w:val="81AE8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F4F4EBB"/>
    <w:multiLevelType w:val="hybridMultilevel"/>
    <w:tmpl w:val="42F0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EDF68DF"/>
    <w:multiLevelType w:val="hybridMultilevel"/>
    <w:tmpl w:val="FC0E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92549"/>
    <w:multiLevelType w:val="hybridMultilevel"/>
    <w:tmpl w:val="08B8D738"/>
    <w:lvl w:ilvl="0" w:tplc="08090001">
      <w:start w:val="1"/>
      <w:numFmt w:val="bullet"/>
      <w:lvlText w:val=""/>
      <w:lvlJc w:val="left"/>
      <w:pPr>
        <w:ind w:left="-1341" w:hanging="360"/>
      </w:pPr>
      <w:rPr>
        <w:rFonts w:ascii="Symbol" w:hAnsi="Symbol" w:hint="default"/>
      </w:rPr>
    </w:lvl>
    <w:lvl w:ilvl="1" w:tplc="08090001">
      <w:start w:val="1"/>
      <w:numFmt w:val="bullet"/>
      <w:lvlText w:val=""/>
      <w:lvlJc w:val="left"/>
      <w:pPr>
        <w:ind w:left="-621" w:hanging="360"/>
      </w:pPr>
      <w:rPr>
        <w:rFonts w:ascii="Symbol" w:hAnsi="Symbol" w:hint="default"/>
      </w:rPr>
    </w:lvl>
    <w:lvl w:ilvl="2" w:tplc="08090005" w:tentative="1">
      <w:start w:val="1"/>
      <w:numFmt w:val="bullet"/>
      <w:lvlText w:val=""/>
      <w:lvlJc w:val="left"/>
      <w:pPr>
        <w:ind w:left="99" w:hanging="360"/>
      </w:pPr>
      <w:rPr>
        <w:rFonts w:ascii="Wingdings" w:hAnsi="Wingdings" w:hint="default"/>
      </w:rPr>
    </w:lvl>
    <w:lvl w:ilvl="3" w:tplc="08090001" w:tentative="1">
      <w:start w:val="1"/>
      <w:numFmt w:val="bullet"/>
      <w:lvlText w:val=""/>
      <w:lvlJc w:val="left"/>
      <w:pPr>
        <w:ind w:left="819" w:hanging="360"/>
      </w:pPr>
      <w:rPr>
        <w:rFonts w:ascii="Symbol" w:hAnsi="Symbol" w:hint="default"/>
      </w:rPr>
    </w:lvl>
    <w:lvl w:ilvl="4" w:tplc="08090003" w:tentative="1">
      <w:start w:val="1"/>
      <w:numFmt w:val="bullet"/>
      <w:lvlText w:val="o"/>
      <w:lvlJc w:val="left"/>
      <w:pPr>
        <w:ind w:left="1539" w:hanging="360"/>
      </w:pPr>
      <w:rPr>
        <w:rFonts w:ascii="Courier New" w:hAnsi="Courier New" w:cs="Courier New" w:hint="default"/>
      </w:rPr>
    </w:lvl>
    <w:lvl w:ilvl="5" w:tplc="08090005" w:tentative="1">
      <w:start w:val="1"/>
      <w:numFmt w:val="bullet"/>
      <w:lvlText w:val=""/>
      <w:lvlJc w:val="left"/>
      <w:pPr>
        <w:ind w:left="2259" w:hanging="360"/>
      </w:pPr>
      <w:rPr>
        <w:rFonts w:ascii="Wingdings" w:hAnsi="Wingdings" w:hint="default"/>
      </w:rPr>
    </w:lvl>
    <w:lvl w:ilvl="6" w:tplc="08090001" w:tentative="1">
      <w:start w:val="1"/>
      <w:numFmt w:val="bullet"/>
      <w:lvlText w:val=""/>
      <w:lvlJc w:val="left"/>
      <w:pPr>
        <w:ind w:left="2979" w:hanging="360"/>
      </w:pPr>
      <w:rPr>
        <w:rFonts w:ascii="Symbol" w:hAnsi="Symbol" w:hint="default"/>
      </w:rPr>
    </w:lvl>
    <w:lvl w:ilvl="7" w:tplc="08090003" w:tentative="1">
      <w:start w:val="1"/>
      <w:numFmt w:val="bullet"/>
      <w:lvlText w:val="o"/>
      <w:lvlJc w:val="left"/>
      <w:pPr>
        <w:ind w:left="3699" w:hanging="360"/>
      </w:pPr>
      <w:rPr>
        <w:rFonts w:ascii="Courier New" w:hAnsi="Courier New" w:cs="Courier New" w:hint="default"/>
      </w:rPr>
    </w:lvl>
    <w:lvl w:ilvl="8" w:tplc="08090005" w:tentative="1">
      <w:start w:val="1"/>
      <w:numFmt w:val="bullet"/>
      <w:lvlText w:val=""/>
      <w:lvlJc w:val="left"/>
      <w:pPr>
        <w:ind w:left="4419" w:hanging="360"/>
      </w:pPr>
      <w:rPr>
        <w:rFonts w:ascii="Wingdings" w:hAnsi="Wingdings" w:hint="default"/>
      </w:rPr>
    </w:lvl>
  </w:abstractNum>
  <w:abstractNum w:abstractNumId="11" w15:restartNumberingAfterBreak="0">
    <w:nsid w:val="35A53021"/>
    <w:multiLevelType w:val="multilevel"/>
    <w:tmpl w:val="406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AF0F57"/>
    <w:multiLevelType w:val="multilevel"/>
    <w:tmpl w:val="79BC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B15B41"/>
    <w:multiLevelType w:val="multilevel"/>
    <w:tmpl w:val="0916E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E6810"/>
    <w:multiLevelType w:val="multilevel"/>
    <w:tmpl w:val="D08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06636"/>
    <w:multiLevelType w:val="hybridMultilevel"/>
    <w:tmpl w:val="A7ECAC8C"/>
    <w:lvl w:ilvl="0" w:tplc="60F86D4E">
      <w:start w:val="1"/>
      <w:numFmt w:val="decimal"/>
      <w:lvlText w:val="%1."/>
      <w:lvlJc w:val="left"/>
      <w:pPr>
        <w:ind w:left="-981" w:hanging="360"/>
      </w:pPr>
      <w:rPr>
        <w:rFonts w:ascii="Arial" w:hAnsi="Arial" w:hint="default"/>
        <w:sz w:val="20"/>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3FD16B07"/>
    <w:multiLevelType w:val="multilevel"/>
    <w:tmpl w:val="71C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163801"/>
    <w:multiLevelType w:val="multilevel"/>
    <w:tmpl w:val="6D003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D240D"/>
    <w:multiLevelType w:val="hybridMultilevel"/>
    <w:tmpl w:val="9C4A391A"/>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621" w:hanging="360"/>
      </w:pPr>
      <w:rPr>
        <w:rFonts w:ascii="Courier New" w:hAnsi="Courier New" w:cs="Courier New" w:hint="default"/>
      </w:rPr>
    </w:lvl>
    <w:lvl w:ilvl="2" w:tplc="08090005" w:tentative="1">
      <w:start w:val="1"/>
      <w:numFmt w:val="bullet"/>
      <w:lvlText w:val=""/>
      <w:lvlJc w:val="left"/>
      <w:pPr>
        <w:ind w:left="99" w:hanging="360"/>
      </w:pPr>
      <w:rPr>
        <w:rFonts w:ascii="Wingdings" w:hAnsi="Wingdings" w:hint="default"/>
      </w:rPr>
    </w:lvl>
    <w:lvl w:ilvl="3" w:tplc="08090001" w:tentative="1">
      <w:start w:val="1"/>
      <w:numFmt w:val="bullet"/>
      <w:lvlText w:val=""/>
      <w:lvlJc w:val="left"/>
      <w:pPr>
        <w:ind w:left="819" w:hanging="360"/>
      </w:pPr>
      <w:rPr>
        <w:rFonts w:ascii="Symbol" w:hAnsi="Symbol" w:hint="default"/>
      </w:rPr>
    </w:lvl>
    <w:lvl w:ilvl="4" w:tplc="08090003" w:tentative="1">
      <w:start w:val="1"/>
      <w:numFmt w:val="bullet"/>
      <w:lvlText w:val="o"/>
      <w:lvlJc w:val="left"/>
      <w:pPr>
        <w:ind w:left="1539" w:hanging="360"/>
      </w:pPr>
      <w:rPr>
        <w:rFonts w:ascii="Courier New" w:hAnsi="Courier New" w:cs="Courier New" w:hint="default"/>
      </w:rPr>
    </w:lvl>
    <w:lvl w:ilvl="5" w:tplc="08090005" w:tentative="1">
      <w:start w:val="1"/>
      <w:numFmt w:val="bullet"/>
      <w:lvlText w:val=""/>
      <w:lvlJc w:val="left"/>
      <w:pPr>
        <w:ind w:left="2259" w:hanging="360"/>
      </w:pPr>
      <w:rPr>
        <w:rFonts w:ascii="Wingdings" w:hAnsi="Wingdings" w:hint="default"/>
      </w:rPr>
    </w:lvl>
    <w:lvl w:ilvl="6" w:tplc="08090001" w:tentative="1">
      <w:start w:val="1"/>
      <w:numFmt w:val="bullet"/>
      <w:lvlText w:val=""/>
      <w:lvlJc w:val="left"/>
      <w:pPr>
        <w:ind w:left="2979" w:hanging="360"/>
      </w:pPr>
      <w:rPr>
        <w:rFonts w:ascii="Symbol" w:hAnsi="Symbol" w:hint="default"/>
      </w:rPr>
    </w:lvl>
    <w:lvl w:ilvl="7" w:tplc="08090003" w:tentative="1">
      <w:start w:val="1"/>
      <w:numFmt w:val="bullet"/>
      <w:lvlText w:val="o"/>
      <w:lvlJc w:val="left"/>
      <w:pPr>
        <w:ind w:left="3699" w:hanging="360"/>
      </w:pPr>
      <w:rPr>
        <w:rFonts w:ascii="Courier New" w:hAnsi="Courier New" w:cs="Courier New" w:hint="default"/>
      </w:rPr>
    </w:lvl>
    <w:lvl w:ilvl="8" w:tplc="08090005" w:tentative="1">
      <w:start w:val="1"/>
      <w:numFmt w:val="bullet"/>
      <w:lvlText w:val=""/>
      <w:lvlJc w:val="left"/>
      <w:pPr>
        <w:ind w:left="4419" w:hanging="360"/>
      </w:pPr>
      <w:rPr>
        <w:rFonts w:ascii="Wingdings" w:hAnsi="Wingdings" w:hint="default"/>
      </w:rPr>
    </w:lvl>
  </w:abstractNum>
  <w:abstractNum w:abstractNumId="20" w15:restartNumberingAfterBreak="0">
    <w:nsid w:val="461F6377"/>
    <w:multiLevelType w:val="multilevel"/>
    <w:tmpl w:val="25024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590425C"/>
    <w:multiLevelType w:val="multilevel"/>
    <w:tmpl w:val="246C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D38C6"/>
    <w:multiLevelType w:val="multilevel"/>
    <w:tmpl w:val="90D00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C851A99"/>
    <w:multiLevelType w:val="hybridMultilevel"/>
    <w:tmpl w:val="E4B8F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42B2D"/>
    <w:multiLevelType w:val="multilevel"/>
    <w:tmpl w:val="0CF43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80252"/>
    <w:multiLevelType w:val="hybridMultilevel"/>
    <w:tmpl w:val="568A62C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6" w15:restartNumberingAfterBreak="0">
    <w:nsid w:val="65C927ED"/>
    <w:multiLevelType w:val="multilevel"/>
    <w:tmpl w:val="D31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D0657F"/>
    <w:multiLevelType w:val="multilevel"/>
    <w:tmpl w:val="E990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A37CB3"/>
    <w:multiLevelType w:val="hybridMultilevel"/>
    <w:tmpl w:val="4CB2A054"/>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621" w:hanging="360"/>
      </w:pPr>
      <w:rPr>
        <w:rFonts w:ascii="Courier New" w:hAnsi="Courier New" w:cs="Courier New" w:hint="default"/>
      </w:rPr>
    </w:lvl>
    <w:lvl w:ilvl="2" w:tplc="08090005" w:tentative="1">
      <w:start w:val="1"/>
      <w:numFmt w:val="bullet"/>
      <w:lvlText w:val=""/>
      <w:lvlJc w:val="left"/>
      <w:pPr>
        <w:ind w:left="99" w:hanging="360"/>
      </w:pPr>
      <w:rPr>
        <w:rFonts w:ascii="Wingdings" w:hAnsi="Wingdings" w:hint="default"/>
      </w:rPr>
    </w:lvl>
    <w:lvl w:ilvl="3" w:tplc="08090001" w:tentative="1">
      <w:start w:val="1"/>
      <w:numFmt w:val="bullet"/>
      <w:lvlText w:val=""/>
      <w:lvlJc w:val="left"/>
      <w:pPr>
        <w:ind w:left="819" w:hanging="360"/>
      </w:pPr>
      <w:rPr>
        <w:rFonts w:ascii="Symbol" w:hAnsi="Symbol" w:hint="default"/>
      </w:rPr>
    </w:lvl>
    <w:lvl w:ilvl="4" w:tplc="08090003" w:tentative="1">
      <w:start w:val="1"/>
      <w:numFmt w:val="bullet"/>
      <w:lvlText w:val="o"/>
      <w:lvlJc w:val="left"/>
      <w:pPr>
        <w:ind w:left="1539" w:hanging="360"/>
      </w:pPr>
      <w:rPr>
        <w:rFonts w:ascii="Courier New" w:hAnsi="Courier New" w:cs="Courier New" w:hint="default"/>
      </w:rPr>
    </w:lvl>
    <w:lvl w:ilvl="5" w:tplc="08090005" w:tentative="1">
      <w:start w:val="1"/>
      <w:numFmt w:val="bullet"/>
      <w:lvlText w:val=""/>
      <w:lvlJc w:val="left"/>
      <w:pPr>
        <w:ind w:left="2259" w:hanging="360"/>
      </w:pPr>
      <w:rPr>
        <w:rFonts w:ascii="Wingdings" w:hAnsi="Wingdings" w:hint="default"/>
      </w:rPr>
    </w:lvl>
    <w:lvl w:ilvl="6" w:tplc="08090001" w:tentative="1">
      <w:start w:val="1"/>
      <w:numFmt w:val="bullet"/>
      <w:lvlText w:val=""/>
      <w:lvlJc w:val="left"/>
      <w:pPr>
        <w:ind w:left="2979" w:hanging="360"/>
      </w:pPr>
      <w:rPr>
        <w:rFonts w:ascii="Symbol" w:hAnsi="Symbol" w:hint="default"/>
      </w:rPr>
    </w:lvl>
    <w:lvl w:ilvl="7" w:tplc="08090003" w:tentative="1">
      <w:start w:val="1"/>
      <w:numFmt w:val="bullet"/>
      <w:lvlText w:val="o"/>
      <w:lvlJc w:val="left"/>
      <w:pPr>
        <w:ind w:left="3699" w:hanging="360"/>
      </w:pPr>
      <w:rPr>
        <w:rFonts w:ascii="Courier New" w:hAnsi="Courier New" w:cs="Courier New" w:hint="default"/>
      </w:rPr>
    </w:lvl>
    <w:lvl w:ilvl="8" w:tplc="08090005" w:tentative="1">
      <w:start w:val="1"/>
      <w:numFmt w:val="bullet"/>
      <w:lvlText w:val=""/>
      <w:lvlJc w:val="left"/>
      <w:pPr>
        <w:ind w:left="4419" w:hanging="360"/>
      </w:pPr>
      <w:rPr>
        <w:rFonts w:ascii="Wingdings" w:hAnsi="Wingdings" w:hint="default"/>
      </w:rPr>
    </w:lvl>
  </w:abstractNum>
  <w:abstractNum w:abstractNumId="29" w15:restartNumberingAfterBreak="0">
    <w:nsid w:val="7CCA30B9"/>
    <w:multiLevelType w:val="multilevel"/>
    <w:tmpl w:val="C6CA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031860">
    <w:abstractNumId w:val="8"/>
  </w:num>
  <w:num w:numId="2" w16cid:durableId="1906644709">
    <w:abstractNumId w:val="12"/>
  </w:num>
  <w:num w:numId="3" w16cid:durableId="1867333261">
    <w:abstractNumId w:val="6"/>
  </w:num>
  <w:num w:numId="4" w16cid:durableId="2098482171">
    <w:abstractNumId w:val="7"/>
  </w:num>
  <w:num w:numId="5" w16cid:durableId="324355332">
    <w:abstractNumId w:val="5"/>
  </w:num>
  <w:num w:numId="6" w16cid:durableId="121458424">
    <w:abstractNumId w:val="25"/>
  </w:num>
  <w:num w:numId="7" w16cid:durableId="1106272090">
    <w:abstractNumId w:val="9"/>
  </w:num>
  <w:num w:numId="8" w16cid:durableId="222759921">
    <w:abstractNumId w:val="23"/>
  </w:num>
  <w:num w:numId="9" w16cid:durableId="1553736656">
    <w:abstractNumId w:val="0"/>
  </w:num>
  <w:num w:numId="10" w16cid:durableId="158808752">
    <w:abstractNumId w:val="28"/>
  </w:num>
  <w:num w:numId="11" w16cid:durableId="29575954">
    <w:abstractNumId w:val="10"/>
  </w:num>
  <w:num w:numId="12" w16cid:durableId="578366348">
    <w:abstractNumId w:val="19"/>
  </w:num>
  <w:num w:numId="13" w16cid:durableId="412242707">
    <w:abstractNumId w:val="1"/>
  </w:num>
  <w:num w:numId="14" w16cid:durableId="1044913116">
    <w:abstractNumId w:val="29"/>
  </w:num>
  <w:num w:numId="15" w16cid:durableId="1979795523">
    <w:abstractNumId w:val="15"/>
  </w:num>
  <w:num w:numId="16" w16cid:durableId="1698042124">
    <w:abstractNumId w:val="26"/>
  </w:num>
  <w:num w:numId="17" w16cid:durableId="1472407760">
    <w:abstractNumId w:val="20"/>
  </w:num>
  <w:num w:numId="18" w16cid:durableId="1638872556">
    <w:abstractNumId w:val="22"/>
  </w:num>
  <w:num w:numId="19" w16cid:durableId="551161511">
    <w:abstractNumId w:val="13"/>
  </w:num>
  <w:num w:numId="20" w16cid:durableId="1215772739">
    <w:abstractNumId w:val="2"/>
  </w:num>
  <w:num w:numId="21" w16cid:durableId="531920247">
    <w:abstractNumId w:val="17"/>
  </w:num>
  <w:num w:numId="22" w16cid:durableId="392854264">
    <w:abstractNumId w:val="3"/>
  </w:num>
  <w:num w:numId="23" w16cid:durableId="1368990537">
    <w:abstractNumId w:val="24"/>
  </w:num>
  <w:num w:numId="24" w16cid:durableId="1689912096">
    <w:abstractNumId w:val="18"/>
  </w:num>
  <w:num w:numId="25" w16cid:durableId="458187850">
    <w:abstractNumId w:val="14"/>
  </w:num>
  <w:num w:numId="26" w16cid:durableId="735661542">
    <w:abstractNumId w:val="21"/>
  </w:num>
  <w:num w:numId="27" w16cid:durableId="951940335">
    <w:abstractNumId w:val="27"/>
  </w:num>
  <w:num w:numId="28" w16cid:durableId="1449350574">
    <w:abstractNumId w:val="11"/>
  </w:num>
  <w:num w:numId="29" w16cid:durableId="1016738179">
    <w:abstractNumId w:val="4"/>
  </w:num>
  <w:num w:numId="30" w16cid:durableId="156868829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zi+eKScnbBQZJeWR3t3tg4fk4hOh+RhUJRBzBx4oiF33Bi5ALR6Fb5yFEDasVEK0FBNIIMW1F4OldVqo3wpmw==" w:salt="rGVVAedqF+ms9yJL/D6gDA=="/>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312"/>
    <w:rsid w:val="00031DE4"/>
    <w:rsid w:val="00032570"/>
    <w:rsid w:val="00035593"/>
    <w:rsid w:val="000362C1"/>
    <w:rsid w:val="000365A7"/>
    <w:rsid w:val="00037603"/>
    <w:rsid w:val="00037DD8"/>
    <w:rsid w:val="00040F69"/>
    <w:rsid w:val="00041C10"/>
    <w:rsid w:val="00041C3C"/>
    <w:rsid w:val="00041C77"/>
    <w:rsid w:val="000442C8"/>
    <w:rsid w:val="0004448F"/>
    <w:rsid w:val="00045153"/>
    <w:rsid w:val="0004541F"/>
    <w:rsid w:val="00045621"/>
    <w:rsid w:val="00046184"/>
    <w:rsid w:val="00050B3B"/>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1D1A"/>
    <w:rsid w:val="000720E5"/>
    <w:rsid w:val="000721F0"/>
    <w:rsid w:val="000741FC"/>
    <w:rsid w:val="000753BD"/>
    <w:rsid w:val="00077963"/>
    <w:rsid w:val="000804D3"/>
    <w:rsid w:val="000809C4"/>
    <w:rsid w:val="00080AD5"/>
    <w:rsid w:val="00082D84"/>
    <w:rsid w:val="000869FB"/>
    <w:rsid w:val="00086D2B"/>
    <w:rsid w:val="00090BBE"/>
    <w:rsid w:val="000910BD"/>
    <w:rsid w:val="00092133"/>
    <w:rsid w:val="000928F1"/>
    <w:rsid w:val="00092E76"/>
    <w:rsid w:val="00092F1E"/>
    <w:rsid w:val="00093870"/>
    <w:rsid w:val="000939DA"/>
    <w:rsid w:val="00093D05"/>
    <w:rsid w:val="0009435A"/>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2BB"/>
    <w:rsid w:val="000C0660"/>
    <w:rsid w:val="000C221B"/>
    <w:rsid w:val="000C2806"/>
    <w:rsid w:val="000C39CA"/>
    <w:rsid w:val="000C3A5F"/>
    <w:rsid w:val="000C5D43"/>
    <w:rsid w:val="000D1B5A"/>
    <w:rsid w:val="000D3801"/>
    <w:rsid w:val="000D3962"/>
    <w:rsid w:val="000D396A"/>
    <w:rsid w:val="000D3F4F"/>
    <w:rsid w:val="000D5B55"/>
    <w:rsid w:val="000D6E32"/>
    <w:rsid w:val="000E1D53"/>
    <w:rsid w:val="000E23DF"/>
    <w:rsid w:val="000E38A6"/>
    <w:rsid w:val="000E47F2"/>
    <w:rsid w:val="000E568E"/>
    <w:rsid w:val="000E6DFA"/>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36FB"/>
    <w:rsid w:val="00114DFB"/>
    <w:rsid w:val="00115826"/>
    <w:rsid w:val="0011585B"/>
    <w:rsid w:val="001161B1"/>
    <w:rsid w:val="00116AD7"/>
    <w:rsid w:val="00122737"/>
    <w:rsid w:val="00122F05"/>
    <w:rsid w:val="00123AF7"/>
    <w:rsid w:val="00124236"/>
    <w:rsid w:val="00124334"/>
    <w:rsid w:val="0012478D"/>
    <w:rsid w:val="00125C7B"/>
    <w:rsid w:val="0012696D"/>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8E3"/>
    <w:rsid w:val="001428EF"/>
    <w:rsid w:val="0014293E"/>
    <w:rsid w:val="00142BC6"/>
    <w:rsid w:val="00142EB4"/>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70946"/>
    <w:rsid w:val="00171052"/>
    <w:rsid w:val="001724EE"/>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EC3"/>
    <w:rsid w:val="00192BCE"/>
    <w:rsid w:val="00192EE7"/>
    <w:rsid w:val="0019314A"/>
    <w:rsid w:val="0019457C"/>
    <w:rsid w:val="001946C8"/>
    <w:rsid w:val="00194DB4"/>
    <w:rsid w:val="0019504F"/>
    <w:rsid w:val="001950DB"/>
    <w:rsid w:val="001956E4"/>
    <w:rsid w:val="00196D62"/>
    <w:rsid w:val="00197A77"/>
    <w:rsid w:val="00197EE9"/>
    <w:rsid w:val="001A0813"/>
    <w:rsid w:val="001A0D47"/>
    <w:rsid w:val="001A18FD"/>
    <w:rsid w:val="001A194E"/>
    <w:rsid w:val="001A1BA3"/>
    <w:rsid w:val="001A3BE8"/>
    <w:rsid w:val="001A4AB8"/>
    <w:rsid w:val="001A5227"/>
    <w:rsid w:val="001A5DBB"/>
    <w:rsid w:val="001A7F88"/>
    <w:rsid w:val="001B0B0E"/>
    <w:rsid w:val="001B1AB0"/>
    <w:rsid w:val="001B1BB8"/>
    <w:rsid w:val="001B35B1"/>
    <w:rsid w:val="001B37A7"/>
    <w:rsid w:val="001B408B"/>
    <w:rsid w:val="001B4608"/>
    <w:rsid w:val="001B47A1"/>
    <w:rsid w:val="001B50F2"/>
    <w:rsid w:val="001B7091"/>
    <w:rsid w:val="001B75D8"/>
    <w:rsid w:val="001B7D78"/>
    <w:rsid w:val="001C0962"/>
    <w:rsid w:val="001C18C2"/>
    <w:rsid w:val="001C1CEA"/>
    <w:rsid w:val="001C4C3D"/>
    <w:rsid w:val="001C5779"/>
    <w:rsid w:val="001C5AA6"/>
    <w:rsid w:val="001C5D86"/>
    <w:rsid w:val="001C6A07"/>
    <w:rsid w:val="001C6D50"/>
    <w:rsid w:val="001D13EF"/>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1F7077"/>
    <w:rsid w:val="002023DD"/>
    <w:rsid w:val="00203531"/>
    <w:rsid w:val="00204D8B"/>
    <w:rsid w:val="00205034"/>
    <w:rsid w:val="002054C3"/>
    <w:rsid w:val="002069B5"/>
    <w:rsid w:val="00210716"/>
    <w:rsid w:val="00213BCD"/>
    <w:rsid w:val="00214CAD"/>
    <w:rsid w:val="002150C5"/>
    <w:rsid w:val="00215EB0"/>
    <w:rsid w:val="002160B8"/>
    <w:rsid w:val="002173FA"/>
    <w:rsid w:val="002207E6"/>
    <w:rsid w:val="002226EE"/>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37BB4"/>
    <w:rsid w:val="00240BDB"/>
    <w:rsid w:val="002434BC"/>
    <w:rsid w:val="00244BC4"/>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57F4A"/>
    <w:rsid w:val="00260979"/>
    <w:rsid w:val="00260C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76BAC"/>
    <w:rsid w:val="00281668"/>
    <w:rsid w:val="002816F8"/>
    <w:rsid w:val="00281B9E"/>
    <w:rsid w:val="00282220"/>
    <w:rsid w:val="00283CFF"/>
    <w:rsid w:val="00284F37"/>
    <w:rsid w:val="002862F5"/>
    <w:rsid w:val="002867E4"/>
    <w:rsid w:val="00286888"/>
    <w:rsid w:val="002869E5"/>
    <w:rsid w:val="002907EF"/>
    <w:rsid w:val="002909B8"/>
    <w:rsid w:val="0029135F"/>
    <w:rsid w:val="00291BEE"/>
    <w:rsid w:val="00292B71"/>
    <w:rsid w:val="00293046"/>
    <w:rsid w:val="002934DC"/>
    <w:rsid w:val="00293F92"/>
    <w:rsid w:val="002944FA"/>
    <w:rsid w:val="002951A8"/>
    <w:rsid w:val="00296BBB"/>
    <w:rsid w:val="002976DB"/>
    <w:rsid w:val="00297AC6"/>
    <w:rsid w:val="002A05C6"/>
    <w:rsid w:val="002A14AF"/>
    <w:rsid w:val="002A29D5"/>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C3"/>
    <w:rsid w:val="002C34C3"/>
    <w:rsid w:val="002C34C6"/>
    <w:rsid w:val="002C3521"/>
    <w:rsid w:val="002C35B4"/>
    <w:rsid w:val="002C58A3"/>
    <w:rsid w:val="002C658E"/>
    <w:rsid w:val="002C6B18"/>
    <w:rsid w:val="002C721F"/>
    <w:rsid w:val="002C74F6"/>
    <w:rsid w:val="002D0234"/>
    <w:rsid w:val="002D0A08"/>
    <w:rsid w:val="002D3721"/>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05FAA"/>
    <w:rsid w:val="00306061"/>
    <w:rsid w:val="0031001B"/>
    <w:rsid w:val="0031036D"/>
    <w:rsid w:val="0031176E"/>
    <w:rsid w:val="00312CF2"/>
    <w:rsid w:val="00313A9C"/>
    <w:rsid w:val="00314383"/>
    <w:rsid w:val="003144EA"/>
    <w:rsid w:val="003147C2"/>
    <w:rsid w:val="003152E2"/>
    <w:rsid w:val="003154F9"/>
    <w:rsid w:val="0031575D"/>
    <w:rsid w:val="00315DD4"/>
    <w:rsid w:val="00316E41"/>
    <w:rsid w:val="0032048F"/>
    <w:rsid w:val="0032165A"/>
    <w:rsid w:val="00321D6F"/>
    <w:rsid w:val="00322690"/>
    <w:rsid w:val="003227D3"/>
    <w:rsid w:val="00323E58"/>
    <w:rsid w:val="003241DD"/>
    <w:rsid w:val="00325746"/>
    <w:rsid w:val="0032691B"/>
    <w:rsid w:val="00326AA1"/>
    <w:rsid w:val="00326CFA"/>
    <w:rsid w:val="0032790C"/>
    <w:rsid w:val="00327A43"/>
    <w:rsid w:val="00331532"/>
    <w:rsid w:val="00333068"/>
    <w:rsid w:val="0033389B"/>
    <w:rsid w:val="003372BF"/>
    <w:rsid w:val="003374EF"/>
    <w:rsid w:val="003379AA"/>
    <w:rsid w:val="003400BA"/>
    <w:rsid w:val="0034424E"/>
    <w:rsid w:val="00345366"/>
    <w:rsid w:val="0034793C"/>
    <w:rsid w:val="00350DE5"/>
    <w:rsid w:val="00352C2D"/>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45"/>
    <w:rsid w:val="00366C5E"/>
    <w:rsid w:val="0036707D"/>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E1F"/>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2A"/>
    <w:rsid w:val="003A42AB"/>
    <w:rsid w:val="003A4E4F"/>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BB5"/>
    <w:rsid w:val="003D2BBE"/>
    <w:rsid w:val="003D2D63"/>
    <w:rsid w:val="003D2EA1"/>
    <w:rsid w:val="003D4827"/>
    <w:rsid w:val="003D4EDE"/>
    <w:rsid w:val="003D51F0"/>
    <w:rsid w:val="003D60AE"/>
    <w:rsid w:val="003D7545"/>
    <w:rsid w:val="003E03F7"/>
    <w:rsid w:val="003E0712"/>
    <w:rsid w:val="003E15C6"/>
    <w:rsid w:val="003E1630"/>
    <w:rsid w:val="003E186D"/>
    <w:rsid w:val="003E1C2A"/>
    <w:rsid w:val="003E2385"/>
    <w:rsid w:val="003E243B"/>
    <w:rsid w:val="003E3C2F"/>
    <w:rsid w:val="003E4EA9"/>
    <w:rsid w:val="003E6227"/>
    <w:rsid w:val="003E6CAD"/>
    <w:rsid w:val="003E7A04"/>
    <w:rsid w:val="003E7B18"/>
    <w:rsid w:val="003F037E"/>
    <w:rsid w:val="003F1378"/>
    <w:rsid w:val="003F2271"/>
    <w:rsid w:val="003F3697"/>
    <w:rsid w:val="003F3EC6"/>
    <w:rsid w:val="003F42C4"/>
    <w:rsid w:val="003F47E9"/>
    <w:rsid w:val="003F4A99"/>
    <w:rsid w:val="003F5C06"/>
    <w:rsid w:val="003F61A8"/>
    <w:rsid w:val="003F67F8"/>
    <w:rsid w:val="003F7281"/>
    <w:rsid w:val="004010EB"/>
    <w:rsid w:val="004017A6"/>
    <w:rsid w:val="00403A52"/>
    <w:rsid w:val="004041E6"/>
    <w:rsid w:val="004044ED"/>
    <w:rsid w:val="004068BE"/>
    <w:rsid w:val="00410493"/>
    <w:rsid w:val="004126AE"/>
    <w:rsid w:val="00412BAC"/>
    <w:rsid w:val="00413410"/>
    <w:rsid w:val="004135D5"/>
    <w:rsid w:val="00414233"/>
    <w:rsid w:val="004143A7"/>
    <w:rsid w:val="00414C28"/>
    <w:rsid w:val="00415C60"/>
    <w:rsid w:val="00416131"/>
    <w:rsid w:val="00417343"/>
    <w:rsid w:val="00422570"/>
    <w:rsid w:val="00423024"/>
    <w:rsid w:val="00424877"/>
    <w:rsid w:val="004250C5"/>
    <w:rsid w:val="00425988"/>
    <w:rsid w:val="00426E06"/>
    <w:rsid w:val="00427196"/>
    <w:rsid w:val="00432556"/>
    <w:rsid w:val="00433621"/>
    <w:rsid w:val="00434691"/>
    <w:rsid w:val="00434D17"/>
    <w:rsid w:val="00434D65"/>
    <w:rsid w:val="004363A1"/>
    <w:rsid w:val="0043754E"/>
    <w:rsid w:val="00441203"/>
    <w:rsid w:val="00441E5E"/>
    <w:rsid w:val="00442595"/>
    <w:rsid w:val="0044283A"/>
    <w:rsid w:val="0044302A"/>
    <w:rsid w:val="00443DF6"/>
    <w:rsid w:val="00443FC5"/>
    <w:rsid w:val="00444798"/>
    <w:rsid w:val="00447A32"/>
    <w:rsid w:val="00447D33"/>
    <w:rsid w:val="0045084A"/>
    <w:rsid w:val="0045206E"/>
    <w:rsid w:val="00452E91"/>
    <w:rsid w:val="00453715"/>
    <w:rsid w:val="004553AB"/>
    <w:rsid w:val="00455BB8"/>
    <w:rsid w:val="00456EB2"/>
    <w:rsid w:val="0045724C"/>
    <w:rsid w:val="0045774E"/>
    <w:rsid w:val="00461DB2"/>
    <w:rsid w:val="0046217D"/>
    <w:rsid w:val="0046277E"/>
    <w:rsid w:val="00463FBA"/>
    <w:rsid w:val="0046533D"/>
    <w:rsid w:val="00466570"/>
    <w:rsid w:val="00467E5C"/>
    <w:rsid w:val="00471D79"/>
    <w:rsid w:val="00474128"/>
    <w:rsid w:val="004753EE"/>
    <w:rsid w:val="004759AD"/>
    <w:rsid w:val="00475FC5"/>
    <w:rsid w:val="004764F1"/>
    <w:rsid w:val="00476CA8"/>
    <w:rsid w:val="004772B9"/>
    <w:rsid w:val="00477351"/>
    <w:rsid w:val="00477E53"/>
    <w:rsid w:val="00481D20"/>
    <w:rsid w:val="00482486"/>
    <w:rsid w:val="004828AA"/>
    <w:rsid w:val="00482D19"/>
    <w:rsid w:val="0048393C"/>
    <w:rsid w:val="00483F4F"/>
    <w:rsid w:val="0048415B"/>
    <w:rsid w:val="00486EF2"/>
    <w:rsid w:val="00487112"/>
    <w:rsid w:val="004874FB"/>
    <w:rsid w:val="00487C86"/>
    <w:rsid w:val="00490895"/>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B6A42"/>
    <w:rsid w:val="004C0C2C"/>
    <w:rsid w:val="004C1754"/>
    <w:rsid w:val="004C311B"/>
    <w:rsid w:val="004C46CE"/>
    <w:rsid w:val="004C69D5"/>
    <w:rsid w:val="004C72F9"/>
    <w:rsid w:val="004D0376"/>
    <w:rsid w:val="004D0BE7"/>
    <w:rsid w:val="004D1501"/>
    <w:rsid w:val="004D15F9"/>
    <w:rsid w:val="004D2579"/>
    <w:rsid w:val="004D2728"/>
    <w:rsid w:val="004D2773"/>
    <w:rsid w:val="004D38AA"/>
    <w:rsid w:val="004D4B6D"/>
    <w:rsid w:val="004D580E"/>
    <w:rsid w:val="004D5D3A"/>
    <w:rsid w:val="004D6820"/>
    <w:rsid w:val="004D6B0E"/>
    <w:rsid w:val="004D7621"/>
    <w:rsid w:val="004D7D05"/>
    <w:rsid w:val="004E041A"/>
    <w:rsid w:val="004E1ECB"/>
    <w:rsid w:val="004E226D"/>
    <w:rsid w:val="004E2581"/>
    <w:rsid w:val="004E277A"/>
    <w:rsid w:val="004E2E84"/>
    <w:rsid w:val="004E3E56"/>
    <w:rsid w:val="004E426C"/>
    <w:rsid w:val="004E4EDA"/>
    <w:rsid w:val="004E55C0"/>
    <w:rsid w:val="004E59FC"/>
    <w:rsid w:val="004E5AFF"/>
    <w:rsid w:val="004E5F5D"/>
    <w:rsid w:val="004E611C"/>
    <w:rsid w:val="004E642D"/>
    <w:rsid w:val="004E6CCE"/>
    <w:rsid w:val="004E6EB8"/>
    <w:rsid w:val="004F0F7F"/>
    <w:rsid w:val="004F1DD6"/>
    <w:rsid w:val="004F1FDC"/>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63B3"/>
    <w:rsid w:val="00527C8D"/>
    <w:rsid w:val="005306DF"/>
    <w:rsid w:val="005309FA"/>
    <w:rsid w:val="00532207"/>
    <w:rsid w:val="00532D13"/>
    <w:rsid w:val="005332AB"/>
    <w:rsid w:val="0053498D"/>
    <w:rsid w:val="005357C1"/>
    <w:rsid w:val="00535C5A"/>
    <w:rsid w:val="00535CE7"/>
    <w:rsid w:val="00536500"/>
    <w:rsid w:val="00537FF7"/>
    <w:rsid w:val="00542E7F"/>
    <w:rsid w:val="0054386C"/>
    <w:rsid w:val="0054419D"/>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638"/>
    <w:rsid w:val="00585859"/>
    <w:rsid w:val="00585BEB"/>
    <w:rsid w:val="0058691A"/>
    <w:rsid w:val="00586C38"/>
    <w:rsid w:val="0058743B"/>
    <w:rsid w:val="00590395"/>
    <w:rsid w:val="00590D08"/>
    <w:rsid w:val="00591929"/>
    <w:rsid w:val="00591D76"/>
    <w:rsid w:val="00593AE4"/>
    <w:rsid w:val="00594BA6"/>
    <w:rsid w:val="005964B1"/>
    <w:rsid w:val="00597672"/>
    <w:rsid w:val="005A0F5D"/>
    <w:rsid w:val="005A1256"/>
    <w:rsid w:val="005A1932"/>
    <w:rsid w:val="005A2B83"/>
    <w:rsid w:val="005A2D3E"/>
    <w:rsid w:val="005A302B"/>
    <w:rsid w:val="005A3B4F"/>
    <w:rsid w:val="005A431E"/>
    <w:rsid w:val="005A48EF"/>
    <w:rsid w:val="005A4C12"/>
    <w:rsid w:val="005A508C"/>
    <w:rsid w:val="005A50F8"/>
    <w:rsid w:val="005A5942"/>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677"/>
    <w:rsid w:val="005D2BA8"/>
    <w:rsid w:val="005D319E"/>
    <w:rsid w:val="005D4C63"/>
    <w:rsid w:val="005D590E"/>
    <w:rsid w:val="005E03C9"/>
    <w:rsid w:val="005E0C7B"/>
    <w:rsid w:val="005E168C"/>
    <w:rsid w:val="005E2048"/>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C1A"/>
    <w:rsid w:val="006031A9"/>
    <w:rsid w:val="00603F40"/>
    <w:rsid w:val="00603FF0"/>
    <w:rsid w:val="006058E3"/>
    <w:rsid w:val="00605A4E"/>
    <w:rsid w:val="00606B94"/>
    <w:rsid w:val="00610582"/>
    <w:rsid w:val="00610BBB"/>
    <w:rsid w:val="00611530"/>
    <w:rsid w:val="00611824"/>
    <w:rsid w:val="0061404F"/>
    <w:rsid w:val="00615128"/>
    <w:rsid w:val="00615D25"/>
    <w:rsid w:val="006202F9"/>
    <w:rsid w:val="00621B81"/>
    <w:rsid w:val="00621FFF"/>
    <w:rsid w:val="00623FA4"/>
    <w:rsid w:val="00623FA7"/>
    <w:rsid w:val="0062528B"/>
    <w:rsid w:val="0062581B"/>
    <w:rsid w:val="0062672E"/>
    <w:rsid w:val="00626A6C"/>
    <w:rsid w:val="00626F53"/>
    <w:rsid w:val="006308C7"/>
    <w:rsid w:val="00632F1E"/>
    <w:rsid w:val="00633493"/>
    <w:rsid w:val="0063376D"/>
    <w:rsid w:val="00633AD1"/>
    <w:rsid w:val="00634EB4"/>
    <w:rsid w:val="00635998"/>
    <w:rsid w:val="00636DCE"/>
    <w:rsid w:val="0063746E"/>
    <w:rsid w:val="00640CAB"/>
    <w:rsid w:val="006415E3"/>
    <w:rsid w:val="00642021"/>
    <w:rsid w:val="00643CEF"/>
    <w:rsid w:val="00644522"/>
    <w:rsid w:val="00645311"/>
    <w:rsid w:val="00645C1B"/>
    <w:rsid w:val="006476DB"/>
    <w:rsid w:val="00647A2D"/>
    <w:rsid w:val="00650458"/>
    <w:rsid w:val="00650C0D"/>
    <w:rsid w:val="006512FA"/>
    <w:rsid w:val="006514A5"/>
    <w:rsid w:val="0065198C"/>
    <w:rsid w:val="006553E0"/>
    <w:rsid w:val="00655DF4"/>
    <w:rsid w:val="00656EEC"/>
    <w:rsid w:val="006572C8"/>
    <w:rsid w:val="00665EDF"/>
    <w:rsid w:val="006668E7"/>
    <w:rsid w:val="006709CD"/>
    <w:rsid w:val="00672835"/>
    <w:rsid w:val="00673210"/>
    <w:rsid w:val="00673DCC"/>
    <w:rsid w:val="0067548B"/>
    <w:rsid w:val="0067555F"/>
    <w:rsid w:val="00675867"/>
    <w:rsid w:val="00675C5C"/>
    <w:rsid w:val="00675DC3"/>
    <w:rsid w:val="00676EC6"/>
    <w:rsid w:val="0067711B"/>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75F"/>
    <w:rsid w:val="006869EC"/>
    <w:rsid w:val="006872CF"/>
    <w:rsid w:val="006905DB"/>
    <w:rsid w:val="0069274A"/>
    <w:rsid w:val="00693FCC"/>
    <w:rsid w:val="00694090"/>
    <w:rsid w:val="00696E95"/>
    <w:rsid w:val="006A1C66"/>
    <w:rsid w:val="006A3775"/>
    <w:rsid w:val="006A42D2"/>
    <w:rsid w:val="006A4546"/>
    <w:rsid w:val="006A5146"/>
    <w:rsid w:val="006A53D3"/>
    <w:rsid w:val="006A6426"/>
    <w:rsid w:val="006A7818"/>
    <w:rsid w:val="006B105F"/>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431D"/>
    <w:rsid w:val="006D5E25"/>
    <w:rsid w:val="006D681A"/>
    <w:rsid w:val="006D6C70"/>
    <w:rsid w:val="006D71B8"/>
    <w:rsid w:val="006D71F4"/>
    <w:rsid w:val="006D7744"/>
    <w:rsid w:val="006E0B3B"/>
    <w:rsid w:val="006E0B99"/>
    <w:rsid w:val="006E15BA"/>
    <w:rsid w:val="006E1D47"/>
    <w:rsid w:val="006E20F5"/>
    <w:rsid w:val="006E48F5"/>
    <w:rsid w:val="006E5445"/>
    <w:rsid w:val="006E5986"/>
    <w:rsid w:val="006E5B6B"/>
    <w:rsid w:val="006E6823"/>
    <w:rsid w:val="006E6FE6"/>
    <w:rsid w:val="006E7645"/>
    <w:rsid w:val="006E7942"/>
    <w:rsid w:val="006E7A3B"/>
    <w:rsid w:val="006E7D4F"/>
    <w:rsid w:val="006F12AC"/>
    <w:rsid w:val="006F20D1"/>
    <w:rsid w:val="006F2335"/>
    <w:rsid w:val="006F34C5"/>
    <w:rsid w:val="006F3C40"/>
    <w:rsid w:val="006F402F"/>
    <w:rsid w:val="006F409E"/>
    <w:rsid w:val="006F4536"/>
    <w:rsid w:val="00702424"/>
    <w:rsid w:val="00703A6E"/>
    <w:rsid w:val="0070404C"/>
    <w:rsid w:val="00704200"/>
    <w:rsid w:val="00704DDC"/>
    <w:rsid w:val="00706460"/>
    <w:rsid w:val="007077E1"/>
    <w:rsid w:val="0071057D"/>
    <w:rsid w:val="00711F48"/>
    <w:rsid w:val="00713B04"/>
    <w:rsid w:val="00713DE8"/>
    <w:rsid w:val="007157D6"/>
    <w:rsid w:val="00716F97"/>
    <w:rsid w:val="00720A62"/>
    <w:rsid w:val="00722C11"/>
    <w:rsid w:val="0072321D"/>
    <w:rsid w:val="00724D68"/>
    <w:rsid w:val="0072662F"/>
    <w:rsid w:val="007274DE"/>
    <w:rsid w:val="00727638"/>
    <w:rsid w:val="00727E1A"/>
    <w:rsid w:val="0073274A"/>
    <w:rsid w:val="00732D1A"/>
    <w:rsid w:val="00732F4B"/>
    <w:rsid w:val="00733788"/>
    <w:rsid w:val="0073378A"/>
    <w:rsid w:val="007338D2"/>
    <w:rsid w:val="007338E8"/>
    <w:rsid w:val="00734242"/>
    <w:rsid w:val="0073553A"/>
    <w:rsid w:val="00735801"/>
    <w:rsid w:val="00736526"/>
    <w:rsid w:val="00736A41"/>
    <w:rsid w:val="00740256"/>
    <w:rsid w:val="00740366"/>
    <w:rsid w:val="00740C54"/>
    <w:rsid w:val="0074123E"/>
    <w:rsid w:val="00741925"/>
    <w:rsid w:val="00741BD4"/>
    <w:rsid w:val="00743DFA"/>
    <w:rsid w:val="007454D7"/>
    <w:rsid w:val="00745D7A"/>
    <w:rsid w:val="007479E7"/>
    <w:rsid w:val="0075007E"/>
    <w:rsid w:val="00750857"/>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4A95"/>
    <w:rsid w:val="00795272"/>
    <w:rsid w:val="007953E4"/>
    <w:rsid w:val="0079731F"/>
    <w:rsid w:val="00797B28"/>
    <w:rsid w:val="00797EBF"/>
    <w:rsid w:val="007A0A18"/>
    <w:rsid w:val="007A2025"/>
    <w:rsid w:val="007A48F7"/>
    <w:rsid w:val="007A4D6B"/>
    <w:rsid w:val="007B0C40"/>
    <w:rsid w:val="007B1B28"/>
    <w:rsid w:val="007B2512"/>
    <w:rsid w:val="007B3DD6"/>
    <w:rsid w:val="007B56B3"/>
    <w:rsid w:val="007B57D5"/>
    <w:rsid w:val="007B6B38"/>
    <w:rsid w:val="007B6D5B"/>
    <w:rsid w:val="007B6DC4"/>
    <w:rsid w:val="007C0137"/>
    <w:rsid w:val="007C2E55"/>
    <w:rsid w:val="007C3216"/>
    <w:rsid w:val="007C37B2"/>
    <w:rsid w:val="007C3F78"/>
    <w:rsid w:val="007C5101"/>
    <w:rsid w:val="007C6B65"/>
    <w:rsid w:val="007D034D"/>
    <w:rsid w:val="007D1069"/>
    <w:rsid w:val="007D31E2"/>
    <w:rsid w:val="007D412C"/>
    <w:rsid w:val="007D425F"/>
    <w:rsid w:val="007D4699"/>
    <w:rsid w:val="007D49CD"/>
    <w:rsid w:val="007D5986"/>
    <w:rsid w:val="007D5A0A"/>
    <w:rsid w:val="007D71DD"/>
    <w:rsid w:val="007D76B0"/>
    <w:rsid w:val="007E1E16"/>
    <w:rsid w:val="007E3799"/>
    <w:rsid w:val="007E37A0"/>
    <w:rsid w:val="007E3ED0"/>
    <w:rsid w:val="007E3F67"/>
    <w:rsid w:val="007E4122"/>
    <w:rsid w:val="007E482D"/>
    <w:rsid w:val="007E5000"/>
    <w:rsid w:val="007E5AA3"/>
    <w:rsid w:val="007E7965"/>
    <w:rsid w:val="007F0047"/>
    <w:rsid w:val="007F019B"/>
    <w:rsid w:val="007F01BE"/>
    <w:rsid w:val="007F0777"/>
    <w:rsid w:val="007F17B6"/>
    <w:rsid w:val="007F2369"/>
    <w:rsid w:val="007F28D9"/>
    <w:rsid w:val="007F33F2"/>
    <w:rsid w:val="007F3DA0"/>
    <w:rsid w:val="007F3F57"/>
    <w:rsid w:val="007F472B"/>
    <w:rsid w:val="007F4730"/>
    <w:rsid w:val="007F55C8"/>
    <w:rsid w:val="007F73EE"/>
    <w:rsid w:val="007F7705"/>
    <w:rsid w:val="007F7CF5"/>
    <w:rsid w:val="0080243C"/>
    <w:rsid w:val="008039E4"/>
    <w:rsid w:val="008042C6"/>
    <w:rsid w:val="008047DB"/>
    <w:rsid w:val="00804C3F"/>
    <w:rsid w:val="0080548B"/>
    <w:rsid w:val="008054A9"/>
    <w:rsid w:val="008055FF"/>
    <w:rsid w:val="00806AEB"/>
    <w:rsid w:val="00807093"/>
    <w:rsid w:val="00807E80"/>
    <w:rsid w:val="0081003E"/>
    <w:rsid w:val="00810BB0"/>
    <w:rsid w:val="0081114E"/>
    <w:rsid w:val="0081252A"/>
    <w:rsid w:val="008137EF"/>
    <w:rsid w:val="00813EBA"/>
    <w:rsid w:val="008148B2"/>
    <w:rsid w:val="00816349"/>
    <w:rsid w:val="00816BCC"/>
    <w:rsid w:val="00817133"/>
    <w:rsid w:val="00820B99"/>
    <w:rsid w:val="00822349"/>
    <w:rsid w:val="008229AF"/>
    <w:rsid w:val="008257F5"/>
    <w:rsid w:val="008266DA"/>
    <w:rsid w:val="00826E1A"/>
    <w:rsid w:val="008309DB"/>
    <w:rsid w:val="00830F37"/>
    <w:rsid w:val="00831BE2"/>
    <w:rsid w:val="00834454"/>
    <w:rsid w:val="00840138"/>
    <w:rsid w:val="008402B3"/>
    <w:rsid w:val="00842101"/>
    <w:rsid w:val="00843136"/>
    <w:rsid w:val="00843198"/>
    <w:rsid w:val="00843777"/>
    <w:rsid w:val="00843C6E"/>
    <w:rsid w:val="00843DF8"/>
    <w:rsid w:val="00844225"/>
    <w:rsid w:val="0084509A"/>
    <w:rsid w:val="008453FE"/>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6354"/>
    <w:rsid w:val="0086783F"/>
    <w:rsid w:val="00870218"/>
    <w:rsid w:val="0087032F"/>
    <w:rsid w:val="00870C30"/>
    <w:rsid w:val="00872390"/>
    <w:rsid w:val="00872A4E"/>
    <w:rsid w:val="00873179"/>
    <w:rsid w:val="008740E4"/>
    <w:rsid w:val="00874318"/>
    <w:rsid w:val="00876081"/>
    <w:rsid w:val="008762CB"/>
    <w:rsid w:val="008778CC"/>
    <w:rsid w:val="00881F31"/>
    <w:rsid w:val="008820EC"/>
    <w:rsid w:val="00883217"/>
    <w:rsid w:val="00885A4C"/>
    <w:rsid w:val="00885E00"/>
    <w:rsid w:val="008865CC"/>
    <w:rsid w:val="008874DF"/>
    <w:rsid w:val="00892FB2"/>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30FC"/>
    <w:rsid w:val="008B3B10"/>
    <w:rsid w:val="008B3B86"/>
    <w:rsid w:val="008B4261"/>
    <w:rsid w:val="008B4293"/>
    <w:rsid w:val="008B4530"/>
    <w:rsid w:val="008B48A6"/>
    <w:rsid w:val="008B5E82"/>
    <w:rsid w:val="008B5F2E"/>
    <w:rsid w:val="008B6846"/>
    <w:rsid w:val="008B6E18"/>
    <w:rsid w:val="008B6E87"/>
    <w:rsid w:val="008B6F91"/>
    <w:rsid w:val="008B787D"/>
    <w:rsid w:val="008B7A5B"/>
    <w:rsid w:val="008B7BA6"/>
    <w:rsid w:val="008C17BD"/>
    <w:rsid w:val="008C1928"/>
    <w:rsid w:val="008C1B19"/>
    <w:rsid w:val="008C1D44"/>
    <w:rsid w:val="008C216C"/>
    <w:rsid w:val="008C395A"/>
    <w:rsid w:val="008C3CDC"/>
    <w:rsid w:val="008C4C86"/>
    <w:rsid w:val="008C6733"/>
    <w:rsid w:val="008C6969"/>
    <w:rsid w:val="008C75AF"/>
    <w:rsid w:val="008C769F"/>
    <w:rsid w:val="008C7C0A"/>
    <w:rsid w:val="008D3B46"/>
    <w:rsid w:val="008D3FDE"/>
    <w:rsid w:val="008D462C"/>
    <w:rsid w:val="008D58D9"/>
    <w:rsid w:val="008D7352"/>
    <w:rsid w:val="008E0673"/>
    <w:rsid w:val="008E165E"/>
    <w:rsid w:val="008E1971"/>
    <w:rsid w:val="008E3B8C"/>
    <w:rsid w:val="008E47C9"/>
    <w:rsid w:val="008E4CE1"/>
    <w:rsid w:val="008E55F8"/>
    <w:rsid w:val="008E6191"/>
    <w:rsid w:val="008E7BD2"/>
    <w:rsid w:val="008F1190"/>
    <w:rsid w:val="008F129F"/>
    <w:rsid w:val="008F15B0"/>
    <w:rsid w:val="008F23BD"/>
    <w:rsid w:val="008F25DC"/>
    <w:rsid w:val="008F3343"/>
    <w:rsid w:val="008F3AE3"/>
    <w:rsid w:val="008F5A4B"/>
    <w:rsid w:val="008F6DF9"/>
    <w:rsid w:val="009016A7"/>
    <w:rsid w:val="0090243B"/>
    <w:rsid w:val="009032D4"/>
    <w:rsid w:val="00904152"/>
    <w:rsid w:val="009053EB"/>
    <w:rsid w:val="00905B77"/>
    <w:rsid w:val="009069B1"/>
    <w:rsid w:val="00906A30"/>
    <w:rsid w:val="009078DF"/>
    <w:rsid w:val="009079D6"/>
    <w:rsid w:val="00910009"/>
    <w:rsid w:val="009104F3"/>
    <w:rsid w:val="0091294A"/>
    <w:rsid w:val="0091346B"/>
    <w:rsid w:val="009135F8"/>
    <w:rsid w:val="00913C86"/>
    <w:rsid w:val="00913EA1"/>
    <w:rsid w:val="0091405D"/>
    <w:rsid w:val="0091425F"/>
    <w:rsid w:val="0091601A"/>
    <w:rsid w:val="00916976"/>
    <w:rsid w:val="00916CD9"/>
    <w:rsid w:val="009170DE"/>
    <w:rsid w:val="00917214"/>
    <w:rsid w:val="009173EF"/>
    <w:rsid w:val="00917A00"/>
    <w:rsid w:val="009205E9"/>
    <w:rsid w:val="0092073D"/>
    <w:rsid w:val="009232EA"/>
    <w:rsid w:val="00923BB1"/>
    <w:rsid w:val="00925681"/>
    <w:rsid w:val="00925876"/>
    <w:rsid w:val="00926350"/>
    <w:rsid w:val="00926A1D"/>
    <w:rsid w:val="00930A53"/>
    <w:rsid w:val="00932414"/>
    <w:rsid w:val="00932477"/>
    <w:rsid w:val="00932C4A"/>
    <w:rsid w:val="00932E14"/>
    <w:rsid w:val="00934F4D"/>
    <w:rsid w:val="00935679"/>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9E2"/>
    <w:rsid w:val="00951C8B"/>
    <w:rsid w:val="009521F7"/>
    <w:rsid w:val="009528D1"/>
    <w:rsid w:val="00952D49"/>
    <w:rsid w:val="009537BD"/>
    <w:rsid w:val="0095522B"/>
    <w:rsid w:val="00960CDC"/>
    <w:rsid w:val="009630FD"/>
    <w:rsid w:val="00963EA8"/>
    <w:rsid w:val="00966AAC"/>
    <w:rsid w:val="009671AF"/>
    <w:rsid w:val="009705D9"/>
    <w:rsid w:val="009710F1"/>
    <w:rsid w:val="00971D02"/>
    <w:rsid w:val="0097276D"/>
    <w:rsid w:val="00972B8B"/>
    <w:rsid w:val="00973DCB"/>
    <w:rsid w:val="00974F4B"/>
    <w:rsid w:val="00976974"/>
    <w:rsid w:val="00980593"/>
    <w:rsid w:val="0098071F"/>
    <w:rsid w:val="00981B79"/>
    <w:rsid w:val="00983825"/>
    <w:rsid w:val="00984E90"/>
    <w:rsid w:val="009853ED"/>
    <w:rsid w:val="009858CA"/>
    <w:rsid w:val="0098645E"/>
    <w:rsid w:val="00987DED"/>
    <w:rsid w:val="00990DBD"/>
    <w:rsid w:val="009913A5"/>
    <w:rsid w:val="009914F6"/>
    <w:rsid w:val="00991B9D"/>
    <w:rsid w:val="00992BF7"/>
    <w:rsid w:val="00993683"/>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A8C"/>
    <w:rsid w:val="009C3E04"/>
    <w:rsid w:val="009C5248"/>
    <w:rsid w:val="009C5806"/>
    <w:rsid w:val="009C5AD2"/>
    <w:rsid w:val="009C7D7D"/>
    <w:rsid w:val="009D0739"/>
    <w:rsid w:val="009D22F4"/>
    <w:rsid w:val="009D267E"/>
    <w:rsid w:val="009D36C4"/>
    <w:rsid w:val="009D3C4E"/>
    <w:rsid w:val="009D456B"/>
    <w:rsid w:val="009D51E4"/>
    <w:rsid w:val="009D767A"/>
    <w:rsid w:val="009E07E8"/>
    <w:rsid w:val="009E0B19"/>
    <w:rsid w:val="009E17F3"/>
    <w:rsid w:val="009E3321"/>
    <w:rsid w:val="009E7F90"/>
    <w:rsid w:val="009F13FC"/>
    <w:rsid w:val="009F4706"/>
    <w:rsid w:val="009F6CDF"/>
    <w:rsid w:val="009F6E06"/>
    <w:rsid w:val="00A023F7"/>
    <w:rsid w:val="00A02EAE"/>
    <w:rsid w:val="00A03077"/>
    <w:rsid w:val="00A03C7C"/>
    <w:rsid w:val="00A04DFA"/>
    <w:rsid w:val="00A06415"/>
    <w:rsid w:val="00A075BF"/>
    <w:rsid w:val="00A11169"/>
    <w:rsid w:val="00A11FF5"/>
    <w:rsid w:val="00A1352D"/>
    <w:rsid w:val="00A13638"/>
    <w:rsid w:val="00A13E53"/>
    <w:rsid w:val="00A13EDC"/>
    <w:rsid w:val="00A13EF9"/>
    <w:rsid w:val="00A148A7"/>
    <w:rsid w:val="00A15135"/>
    <w:rsid w:val="00A20E85"/>
    <w:rsid w:val="00A20FCC"/>
    <w:rsid w:val="00A2223A"/>
    <w:rsid w:val="00A2287E"/>
    <w:rsid w:val="00A22D35"/>
    <w:rsid w:val="00A24142"/>
    <w:rsid w:val="00A250E3"/>
    <w:rsid w:val="00A25508"/>
    <w:rsid w:val="00A2578A"/>
    <w:rsid w:val="00A2592C"/>
    <w:rsid w:val="00A2619E"/>
    <w:rsid w:val="00A2631D"/>
    <w:rsid w:val="00A2655F"/>
    <w:rsid w:val="00A30084"/>
    <w:rsid w:val="00A30366"/>
    <w:rsid w:val="00A30E69"/>
    <w:rsid w:val="00A33288"/>
    <w:rsid w:val="00A343E9"/>
    <w:rsid w:val="00A34608"/>
    <w:rsid w:val="00A35B03"/>
    <w:rsid w:val="00A36A7B"/>
    <w:rsid w:val="00A36FF4"/>
    <w:rsid w:val="00A375C9"/>
    <w:rsid w:val="00A410D7"/>
    <w:rsid w:val="00A43CF1"/>
    <w:rsid w:val="00A43FC1"/>
    <w:rsid w:val="00A441D2"/>
    <w:rsid w:val="00A44B05"/>
    <w:rsid w:val="00A46A61"/>
    <w:rsid w:val="00A47236"/>
    <w:rsid w:val="00A47C36"/>
    <w:rsid w:val="00A5164C"/>
    <w:rsid w:val="00A51F25"/>
    <w:rsid w:val="00A52340"/>
    <w:rsid w:val="00A53088"/>
    <w:rsid w:val="00A54F8C"/>
    <w:rsid w:val="00A55671"/>
    <w:rsid w:val="00A57D75"/>
    <w:rsid w:val="00A57FE7"/>
    <w:rsid w:val="00A60C35"/>
    <w:rsid w:val="00A61418"/>
    <w:rsid w:val="00A62D07"/>
    <w:rsid w:val="00A6626A"/>
    <w:rsid w:val="00A678FF"/>
    <w:rsid w:val="00A710ED"/>
    <w:rsid w:val="00A71601"/>
    <w:rsid w:val="00A717D1"/>
    <w:rsid w:val="00A71DBD"/>
    <w:rsid w:val="00A75BC7"/>
    <w:rsid w:val="00A80172"/>
    <w:rsid w:val="00A80E6F"/>
    <w:rsid w:val="00A8276F"/>
    <w:rsid w:val="00A82C90"/>
    <w:rsid w:val="00A83DFB"/>
    <w:rsid w:val="00A852DA"/>
    <w:rsid w:val="00A85D56"/>
    <w:rsid w:val="00A86523"/>
    <w:rsid w:val="00A86CC3"/>
    <w:rsid w:val="00A86FB1"/>
    <w:rsid w:val="00A872BF"/>
    <w:rsid w:val="00A9076B"/>
    <w:rsid w:val="00A91B08"/>
    <w:rsid w:val="00A92845"/>
    <w:rsid w:val="00A943D6"/>
    <w:rsid w:val="00A948C5"/>
    <w:rsid w:val="00A9567A"/>
    <w:rsid w:val="00A975B7"/>
    <w:rsid w:val="00AA032B"/>
    <w:rsid w:val="00AA12B2"/>
    <w:rsid w:val="00AA398B"/>
    <w:rsid w:val="00AA5E18"/>
    <w:rsid w:val="00AA6712"/>
    <w:rsid w:val="00AB0AF3"/>
    <w:rsid w:val="00AB0D3A"/>
    <w:rsid w:val="00AB0E1E"/>
    <w:rsid w:val="00AB22CB"/>
    <w:rsid w:val="00AB2484"/>
    <w:rsid w:val="00AB27F4"/>
    <w:rsid w:val="00AB467F"/>
    <w:rsid w:val="00AB694D"/>
    <w:rsid w:val="00AB6EFF"/>
    <w:rsid w:val="00AB77CA"/>
    <w:rsid w:val="00AB7CC2"/>
    <w:rsid w:val="00AB7F9D"/>
    <w:rsid w:val="00AC0213"/>
    <w:rsid w:val="00AC1439"/>
    <w:rsid w:val="00AC273F"/>
    <w:rsid w:val="00AC38BA"/>
    <w:rsid w:val="00AC448D"/>
    <w:rsid w:val="00AC6B58"/>
    <w:rsid w:val="00AC79B4"/>
    <w:rsid w:val="00AC7C7E"/>
    <w:rsid w:val="00AD044C"/>
    <w:rsid w:val="00AD14BF"/>
    <w:rsid w:val="00AD19C6"/>
    <w:rsid w:val="00AD1C4C"/>
    <w:rsid w:val="00AD25A9"/>
    <w:rsid w:val="00AD25D3"/>
    <w:rsid w:val="00AD320C"/>
    <w:rsid w:val="00AD37DC"/>
    <w:rsid w:val="00AD4444"/>
    <w:rsid w:val="00AE38EB"/>
    <w:rsid w:val="00AE3D7D"/>
    <w:rsid w:val="00AE4922"/>
    <w:rsid w:val="00AE4CC7"/>
    <w:rsid w:val="00AE5409"/>
    <w:rsid w:val="00AE59E3"/>
    <w:rsid w:val="00AE705B"/>
    <w:rsid w:val="00AF06D5"/>
    <w:rsid w:val="00AF1472"/>
    <w:rsid w:val="00AF248F"/>
    <w:rsid w:val="00AF38B1"/>
    <w:rsid w:val="00AF3B8D"/>
    <w:rsid w:val="00AF3BF5"/>
    <w:rsid w:val="00AF5024"/>
    <w:rsid w:val="00AF540C"/>
    <w:rsid w:val="00AF5D40"/>
    <w:rsid w:val="00AF5EEE"/>
    <w:rsid w:val="00AF631A"/>
    <w:rsid w:val="00AF7BF9"/>
    <w:rsid w:val="00B00C27"/>
    <w:rsid w:val="00B01CE0"/>
    <w:rsid w:val="00B02784"/>
    <w:rsid w:val="00B02D91"/>
    <w:rsid w:val="00B03F3F"/>
    <w:rsid w:val="00B0456E"/>
    <w:rsid w:val="00B04574"/>
    <w:rsid w:val="00B046CF"/>
    <w:rsid w:val="00B05581"/>
    <w:rsid w:val="00B05B57"/>
    <w:rsid w:val="00B06237"/>
    <w:rsid w:val="00B06A2F"/>
    <w:rsid w:val="00B10518"/>
    <w:rsid w:val="00B11FFD"/>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E31"/>
    <w:rsid w:val="00B3517C"/>
    <w:rsid w:val="00B358E7"/>
    <w:rsid w:val="00B35C7D"/>
    <w:rsid w:val="00B35EFA"/>
    <w:rsid w:val="00B379C7"/>
    <w:rsid w:val="00B4128D"/>
    <w:rsid w:val="00B419D7"/>
    <w:rsid w:val="00B420FE"/>
    <w:rsid w:val="00B43E57"/>
    <w:rsid w:val="00B4424A"/>
    <w:rsid w:val="00B446DF"/>
    <w:rsid w:val="00B45611"/>
    <w:rsid w:val="00B45727"/>
    <w:rsid w:val="00B45D3B"/>
    <w:rsid w:val="00B46051"/>
    <w:rsid w:val="00B4620A"/>
    <w:rsid w:val="00B50190"/>
    <w:rsid w:val="00B51709"/>
    <w:rsid w:val="00B53341"/>
    <w:rsid w:val="00B5339C"/>
    <w:rsid w:val="00B54CD1"/>
    <w:rsid w:val="00B551D8"/>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761"/>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C7B44"/>
    <w:rsid w:val="00BC7E59"/>
    <w:rsid w:val="00BD0852"/>
    <w:rsid w:val="00BD1A73"/>
    <w:rsid w:val="00BD1E6A"/>
    <w:rsid w:val="00BD2F4B"/>
    <w:rsid w:val="00BD55CA"/>
    <w:rsid w:val="00BD58FB"/>
    <w:rsid w:val="00BD7609"/>
    <w:rsid w:val="00BD7FE5"/>
    <w:rsid w:val="00BE01EF"/>
    <w:rsid w:val="00BE108B"/>
    <w:rsid w:val="00BE3A54"/>
    <w:rsid w:val="00BE43F7"/>
    <w:rsid w:val="00BE6717"/>
    <w:rsid w:val="00BE6E90"/>
    <w:rsid w:val="00BE7C3B"/>
    <w:rsid w:val="00BF0914"/>
    <w:rsid w:val="00BF32FE"/>
    <w:rsid w:val="00BF725A"/>
    <w:rsid w:val="00BF75CE"/>
    <w:rsid w:val="00C02D79"/>
    <w:rsid w:val="00C0399A"/>
    <w:rsid w:val="00C04521"/>
    <w:rsid w:val="00C065DC"/>
    <w:rsid w:val="00C06BE3"/>
    <w:rsid w:val="00C0749F"/>
    <w:rsid w:val="00C077B4"/>
    <w:rsid w:val="00C10D9A"/>
    <w:rsid w:val="00C12E58"/>
    <w:rsid w:val="00C140D3"/>
    <w:rsid w:val="00C156C7"/>
    <w:rsid w:val="00C15972"/>
    <w:rsid w:val="00C179CE"/>
    <w:rsid w:val="00C217AF"/>
    <w:rsid w:val="00C21B4C"/>
    <w:rsid w:val="00C2254A"/>
    <w:rsid w:val="00C230D8"/>
    <w:rsid w:val="00C230E6"/>
    <w:rsid w:val="00C240A1"/>
    <w:rsid w:val="00C24953"/>
    <w:rsid w:val="00C270AF"/>
    <w:rsid w:val="00C271C2"/>
    <w:rsid w:val="00C3011D"/>
    <w:rsid w:val="00C305F4"/>
    <w:rsid w:val="00C309B3"/>
    <w:rsid w:val="00C313DF"/>
    <w:rsid w:val="00C350D3"/>
    <w:rsid w:val="00C3517E"/>
    <w:rsid w:val="00C36FAE"/>
    <w:rsid w:val="00C37926"/>
    <w:rsid w:val="00C40FCF"/>
    <w:rsid w:val="00C41BB4"/>
    <w:rsid w:val="00C41E26"/>
    <w:rsid w:val="00C4331E"/>
    <w:rsid w:val="00C44A42"/>
    <w:rsid w:val="00C459B7"/>
    <w:rsid w:val="00C467A3"/>
    <w:rsid w:val="00C46F66"/>
    <w:rsid w:val="00C478C5"/>
    <w:rsid w:val="00C500B9"/>
    <w:rsid w:val="00C50B4C"/>
    <w:rsid w:val="00C54D44"/>
    <w:rsid w:val="00C5544B"/>
    <w:rsid w:val="00C56759"/>
    <w:rsid w:val="00C57021"/>
    <w:rsid w:val="00C57098"/>
    <w:rsid w:val="00C579BC"/>
    <w:rsid w:val="00C604F6"/>
    <w:rsid w:val="00C622E4"/>
    <w:rsid w:val="00C631F2"/>
    <w:rsid w:val="00C632D8"/>
    <w:rsid w:val="00C6350F"/>
    <w:rsid w:val="00C63CFD"/>
    <w:rsid w:val="00C64212"/>
    <w:rsid w:val="00C650E5"/>
    <w:rsid w:val="00C65F14"/>
    <w:rsid w:val="00C67170"/>
    <w:rsid w:val="00C678A6"/>
    <w:rsid w:val="00C67F68"/>
    <w:rsid w:val="00C706FF"/>
    <w:rsid w:val="00C70984"/>
    <w:rsid w:val="00C7204B"/>
    <w:rsid w:val="00C7278F"/>
    <w:rsid w:val="00C75CCE"/>
    <w:rsid w:val="00C7604D"/>
    <w:rsid w:val="00C76EA6"/>
    <w:rsid w:val="00C77018"/>
    <w:rsid w:val="00C771BE"/>
    <w:rsid w:val="00C77918"/>
    <w:rsid w:val="00C77EDB"/>
    <w:rsid w:val="00C808E0"/>
    <w:rsid w:val="00C8121B"/>
    <w:rsid w:val="00C81FA1"/>
    <w:rsid w:val="00C82EB0"/>
    <w:rsid w:val="00C85548"/>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E9E"/>
    <w:rsid w:val="00CA6F9E"/>
    <w:rsid w:val="00CA7700"/>
    <w:rsid w:val="00CA7B96"/>
    <w:rsid w:val="00CB17DA"/>
    <w:rsid w:val="00CB17E2"/>
    <w:rsid w:val="00CB1A7D"/>
    <w:rsid w:val="00CB3928"/>
    <w:rsid w:val="00CB45D5"/>
    <w:rsid w:val="00CB4BBD"/>
    <w:rsid w:val="00CB50F3"/>
    <w:rsid w:val="00CB6B58"/>
    <w:rsid w:val="00CB7F9E"/>
    <w:rsid w:val="00CC0778"/>
    <w:rsid w:val="00CC1AF7"/>
    <w:rsid w:val="00CC2DB1"/>
    <w:rsid w:val="00CC3C79"/>
    <w:rsid w:val="00CC4CE6"/>
    <w:rsid w:val="00CC5700"/>
    <w:rsid w:val="00CD02C2"/>
    <w:rsid w:val="00CD0857"/>
    <w:rsid w:val="00CD1DBE"/>
    <w:rsid w:val="00CD2649"/>
    <w:rsid w:val="00CD36A2"/>
    <w:rsid w:val="00CD46CA"/>
    <w:rsid w:val="00CD559D"/>
    <w:rsid w:val="00CD5F05"/>
    <w:rsid w:val="00CD6024"/>
    <w:rsid w:val="00CD6414"/>
    <w:rsid w:val="00CD7517"/>
    <w:rsid w:val="00CD7B0D"/>
    <w:rsid w:val="00CD7E7F"/>
    <w:rsid w:val="00CD7EB1"/>
    <w:rsid w:val="00CE013E"/>
    <w:rsid w:val="00CE0889"/>
    <w:rsid w:val="00CE0CF3"/>
    <w:rsid w:val="00CE41FD"/>
    <w:rsid w:val="00CE44C8"/>
    <w:rsid w:val="00CE4960"/>
    <w:rsid w:val="00CE6554"/>
    <w:rsid w:val="00CE6B6D"/>
    <w:rsid w:val="00CE7FE0"/>
    <w:rsid w:val="00CF0062"/>
    <w:rsid w:val="00CF1614"/>
    <w:rsid w:val="00CF1BFB"/>
    <w:rsid w:val="00CF21D8"/>
    <w:rsid w:val="00CF220A"/>
    <w:rsid w:val="00CF2A26"/>
    <w:rsid w:val="00CF3208"/>
    <w:rsid w:val="00CF3467"/>
    <w:rsid w:val="00CF3F05"/>
    <w:rsid w:val="00CF535B"/>
    <w:rsid w:val="00CF556E"/>
    <w:rsid w:val="00CF5C18"/>
    <w:rsid w:val="00CF637F"/>
    <w:rsid w:val="00CF6C5B"/>
    <w:rsid w:val="00D00489"/>
    <w:rsid w:val="00D00871"/>
    <w:rsid w:val="00D0136B"/>
    <w:rsid w:val="00D01386"/>
    <w:rsid w:val="00D0278F"/>
    <w:rsid w:val="00D04D4F"/>
    <w:rsid w:val="00D05B88"/>
    <w:rsid w:val="00D062BD"/>
    <w:rsid w:val="00D06E80"/>
    <w:rsid w:val="00D07F72"/>
    <w:rsid w:val="00D10191"/>
    <w:rsid w:val="00D10647"/>
    <w:rsid w:val="00D12D0D"/>
    <w:rsid w:val="00D12F35"/>
    <w:rsid w:val="00D16EFA"/>
    <w:rsid w:val="00D20224"/>
    <w:rsid w:val="00D204D6"/>
    <w:rsid w:val="00D21538"/>
    <w:rsid w:val="00D21CA1"/>
    <w:rsid w:val="00D2265C"/>
    <w:rsid w:val="00D24148"/>
    <w:rsid w:val="00D24A08"/>
    <w:rsid w:val="00D25B27"/>
    <w:rsid w:val="00D25C37"/>
    <w:rsid w:val="00D26DF2"/>
    <w:rsid w:val="00D27247"/>
    <w:rsid w:val="00D30989"/>
    <w:rsid w:val="00D31965"/>
    <w:rsid w:val="00D31DC3"/>
    <w:rsid w:val="00D31DF4"/>
    <w:rsid w:val="00D3219B"/>
    <w:rsid w:val="00D32890"/>
    <w:rsid w:val="00D33155"/>
    <w:rsid w:val="00D350DE"/>
    <w:rsid w:val="00D357CA"/>
    <w:rsid w:val="00D35A37"/>
    <w:rsid w:val="00D36B33"/>
    <w:rsid w:val="00D36DED"/>
    <w:rsid w:val="00D372FD"/>
    <w:rsid w:val="00D40CAE"/>
    <w:rsid w:val="00D40F10"/>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163E"/>
    <w:rsid w:val="00D51B34"/>
    <w:rsid w:val="00D51F2F"/>
    <w:rsid w:val="00D55CDB"/>
    <w:rsid w:val="00D55EA3"/>
    <w:rsid w:val="00D566FE"/>
    <w:rsid w:val="00D56DCA"/>
    <w:rsid w:val="00D60951"/>
    <w:rsid w:val="00D6272B"/>
    <w:rsid w:val="00D62766"/>
    <w:rsid w:val="00D62A93"/>
    <w:rsid w:val="00D62C3F"/>
    <w:rsid w:val="00D64130"/>
    <w:rsid w:val="00D65EC3"/>
    <w:rsid w:val="00D70446"/>
    <w:rsid w:val="00D70ECF"/>
    <w:rsid w:val="00D71951"/>
    <w:rsid w:val="00D7304E"/>
    <w:rsid w:val="00D731BE"/>
    <w:rsid w:val="00D73992"/>
    <w:rsid w:val="00D75997"/>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2F33"/>
    <w:rsid w:val="00DA314C"/>
    <w:rsid w:val="00DA5F1F"/>
    <w:rsid w:val="00DA6084"/>
    <w:rsid w:val="00DA7C38"/>
    <w:rsid w:val="00DB137C"/>
    <w:rsid w:val="00DB1F41"/>
    <w:rsid w:val="00DB3D0F"/>
    <w:rsid w:val="00DB413C"/>
    <w:rsid w:val="00DB7308"/>
    <w:rsid w:val="00DC02AE"/>
    <w:rsid w:val="00DC0440"/>
    <w:rsid w:val="00DC280B"/>
    <w:rsid w:val="00DC2AC0"/>
    <w:rsid w:val="00DC447C"/>
    <w:rsid w:val="00DC65C3"/>
    <w:rsid w:val="00DC6814"/>
    <w:rsid w:val="00DC7618"/>
    <w:rsid w:val="00DD1825"/>
    <w:rsid w:val="00DD219C"/>
    <w:rsid w:val="00DD2A4A"/>
    <w:rsid w:val="00DD4034"/>
    <w:rsid w:val="00DD522D"/>
    <w:rsid w:val="00DD6B14"/>
    <w:rsid w:val="00DD7E67"/>
    <w:rsid w:val="00DE1D2F"/>
    <w:rsid w:val="00DE222B"/>
    <w:rsid w:val="00DE3427"/>
    <w:rsid w:val="00DE3802"/>
    <w:rsid w:val="00DE3945"/>
    <w:rsid w:val="00DE395D"/>
    <w:rsid w:val="00DE3DE9"/>
    <w:rsid w:val="00DE4C84"/>
    <w:rsid w:val="00DE680B"/>
    <w:rsid w:val="00DE6C8A"/>
    <w:rsid w:val="00DF265C"/>
    <w:rsid w:val="00DF28A2"/>
    <w:rsid w:val="00DF2AC8"/>
    <w:rsid w:val="00DF415C"/>
    <w:rsid w:val="00DF50F7"/>
    <w:rsid w:val="00DF524F"/>
    <w:rsid w:val="00DF6268"/>
    <w:rsid w:val="00DF6C7D"/>
    <w:rsid w:val="00DF7032"/>
    <w:rsid w:val="00E00384"/>
    <w:rsid w:val="00E01F31"/>
    <w:rsid w:val="00E02B5A"/>
    <w:rsid w:val="00E054C1"/>
    <w:rsid w:val="00E05FC2"/>
    <w:rsid w:val="00E061AE"/>
    <w:rsid w:val="00E07197"/>
    <w:rsid w:val="00E075D6"/>
    <w:rsid w:val="00E07731"/>
    <w:rsid w:val="00E107C2"/>
    <w:rsid w:val="00E11AA2"/>
    <w:rsid w:val="00E14E25"/>
    <w:rsid w:val="00E14F60"/>
    <w:rsid w:val="00E16AAC"/>
    <w:rsid w:val="00E17EE6"/>
    <w:rsid w:val="00E21CB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18DB"/>
    <w:rsid w:val="00E42EDA"/>
    <w:rsid w:val="00E4741B"/>
    <w:rsid w:val="00E50821"/>
    <w:rsid w:val="00E519F9"/>
    <w:rsid w:val="00E5314D"/>
    <w:rsid w:val="00E53AD2"/>
    <w:rsid w:val="00E542D9"/>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4EFD"/>
    <w:rsid w:val="00E7655D"/>
    <w:rsid w:val="00E8143D"/>
    <w:rsid w:val="00E818E4"/>
    <w:rsid w:val="00E84E0D"/>
    <w:rsid w:val="00E86B10"/>
    <w:rsid w:val="00E8763A"/>
    <w:rsid w:val="00E9043C"/>
    <w:rsid w:val="00E924E1"/>
    <w:rsid w:val="00E92786"/>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7ABD"/>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29D9"/>
    <w:rsid w:val="00ED5BD7"/>
    <w:rsid w:val="00ED5D0E"/>
    <w:rsid w:val="00ED5DE5"/>
    <w:rsid w:val="00ED7A58"/>
    <w:rsid w:val="00EE00AF"/>
    <w:rsid w:val="00EE05B5"/>
    <w:rsid w:val="00EE0737"/>
    <w:rsid w:val="00EE0FF5"/>
    <w:rsid w:val="00EE117B"/>
    <w:rsid w:val="00EE126E"/>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6620"/>
    <w:rsid w:val="00EF6A75"/>
    <w:rsid w:val="00EF701B"/>
    <w:rsid w:val="00EF7644"/>
    <w:rsid w:val="00EF7AF2"/>
    <w:rsid w:val="00EF7C63"/>
    <w:rsid w:val="00F00A37"/>
    <w:rsid w:val="00F0142D"/>
    <w:rsid w:val="00F0354D"/>
    <w:rsid w:val="00F03E4F"/>
    <w:rsid w:val="00F049FB"/>
    <w:rsid w:val="00F05741"/>
    <w:rsid w:val="00F06145"/>
    <w:rsid w:val="00F06C9D"/>
    <w:rsid w:val="00F06D24"/>
    <w:rsid w:val="00F07CFA"/>
    <w:rsid w:val="00F10756"/>
    <w:rsid w:val="00F11691"/>
    <w:rsid w:val="00F11D5D"/>
    <w:rsid w:val="00F121B7"/>
    <w:rsid w:val="00F12BFD"/>
    <w:rsid w:val="00F1315D"/>
    <w:rsid w:val="00F13950"/>
    <w:rsid w:val="00F15194"/>
    <w:rsid w:val="00F178AA"/>
    <w:rsid w:val="00F17FEA"/>
    <w:rsid w:val="00F215EA"/>
    <w:rsid w:val="00F21950"/>
    <w:rsid w:val="00F22B11"/>
    <w:rsid w:val="00F25DEA"/>
    <w:rsid w:val="00F267D7"/>
    <w:rsid w:val="00F277BE"/>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3DF5"/>
    <w:rsid w:val="00F55302"/>
    <w:rsid w:val="00F55B1F"/>
    <w:rsid w:val="00F56869"/>
    <w:rsid w:val="00F56B13"/>
    <w:rsid w:val="00F57AEE"/>
    <w:rsid w:val="00F604FE"/>
    <w:rsid w:val="00F63F0B"/>
    <w:rsid w:val="00F642CA"/>
    <w:rsid w:val="00F6479E"/>
    <w:rsid w:val="00F64F90"/>
    <w:rsid w:val="00F663F8"/>
    <w:rsid w:val="00F6654D"/>
    <w:rsid w:val="00F66BDA"/>
    <w:rsid w:val="00F6709F"/>
    <w:rsid w:val="00F670EC"/>
    <w:rsid w:val="00F671B8"/>
    <w:rsid w:val="00F705DA"/>
    <w:rsid w:val="00F7102E"/>
    <w:rsid w:val="00F71476"/>
    <w:rsid w:val="00F73A89"/>
    <w:rsid w:val="00F761B0"/>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248E"/>
    <w:rsid w:val="00F933DC"/>
    <w:rsid w:val="00F94302"/>
    <w:rsid w:val="00F954DB"/>
    <w:rsid w:val="00F95D67"/>
    <w:rsid w:val="00F963D0"/>
    <w:rsid w:val="00F97A05"/>
    <w:rsid w:val="00FA03E7"/>
    <w:rsid w:val="00FA317F"/>
    <w:rsid w:val="00FA78AB"/>
    <w:rsid w:val="00FB1B14"/>
    <w:rsid w:val="00FB1CC1"/>
    <w:rsid w:val="00FB2573"/>
    <w:rsid w:val="00FB2579"/>
    <w:rsid w:val="00FB4B7C"/>
    <w:rsid w:val="00FB6737"/>
    <w:rsid w:val="00FB697C"/>
    <w:rsid w:val="00FC05E4"/>
    <w:rsid w:val="00FC3192"/>
    <w:rsid w:val="00FC3D25"/>
    <w:rsid w:val="00FC43F4"/>
    <w:rsid w:val="00FC4657"/>
    <w:rsid w:val="00FC4F04"/>
    <w:rsid w:val="00FC63C7"/>
    <w:rsid w:val="00FC6F69"/>
    <w:rsid w:val="00FC7C8C"/>
    <w:rsid w:val="00FD1212"/>
    <w:rsid w:val="00FD21C4"/>
    <w:rsid w:val="00FD38D3"/>
    <w:rsid w:val="00FD4AA8"/>
    <w:rsid w:val="00FD54AA"/>
    <w:rsid w:val="00FD54FA"/>
    <w:rsid w:val="00FD5810"/>
    <w:rsid w:val="00FD6F1B"/>
    <w:rsid w:val="00FE16F0"/>
    <w:rsid w:val="00FE24D3"/>
    <w:rsid w:val="00FE33F1"/>
    <w:rsid w:val="00FE366E"/>
    <w:rsid w:val="00FE4FCE"/>
    <w:rsid w:val="00FF1577"/>
    <w:rsid w:val="00FF1C86"/>
    <w:rsid w:val="00FF2D09"/>
    <w:rsid w:val="00FF466F"/>
    <w:rsid w:val="00FF550C"/>
    <w:rsid w:val="00FF5EE8"/>
    <w:rsid w:val="00FF611C"/>
    <w:rsid w:val="00FF7CE7"/>
    <w:rsid w:val="3FD7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 w:type="paragraph" w:customStyle="1" w:styleId="Guidance">
    <w:name w:val="Guidance"/>
    <w:basedOn w:val="Normal"/>
    <w:rsid w:val="00E418DB"/>
    <w:pPr>
      <w:snapToGrid w:val="0"/>
      <w:spacing w:before="120" w:line="240" w:lineRule="auto"/>
      <w:jc w:val="both"/>
    </w:pPr>
    <w:rPr>
      <w:color w:val="000000"/>
      <w:lang w:eastAsia="en-US"/>
    </w:rPr>
  </w:style>
  <w:style w:type="paragraph" w:customStyle="1" w:styleId="Guidanceindent1">
    <w:name w:val="Guidance indent 1"/>
    <w:basedOn w:val="Guidance"/>
    <w:rsid w:val="00E418DB"/>
    <w:pPr>
      <w:ind w:left="1440" w:hanging="1440"/>
    </w:pPr>
  </w:style>
  <w:style w:type="paragraph" w:customStyle="1" w:styleId="CharCharCharCharCharCharCharCharCharCharCharCharCharCharChar0">
    <w:name w:val="Char Char Char Char Char Char Char Char Char Char Char Char Char Char Char0"/>
    <w:basedOn w:val="Normal"/>
    <w:rsid w:val="00E418DB"/>
    <w:pPr>
      <w:spacing w:before="0" w:after="160" w:line="240" w:lineRule="exact"/>
    </w:pPr>
    <w:rPr>
      <w:lang w:val="en-US" w:eastAsia="en-US"/>
    </w:rPr>
  </w:style>
  <w:style w:type="paragraph" w:customStyle="1" w:styleId="paragraph">
    <w:name w:val="paragraph"/>
    <w:basedOn w:val="Normal"/>
    <w:rsid w:val="00F07CF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F07CFA"/>
  </w:style>
  <w:style w:type="character" w:customStyle="1" w:styleId="eop">
    <w:name w:val="eop"/>
    <w:basedOn w:val="DefaultParagraphFont"/>
    <w:rsid w:val="00F07CFA"/>
  </w:style>
  <w:style w:type="character" w:styleId="Mention">
    <w:name w:val="Mention"/>
    <w:basedOn w:val="DefaultParagraphFont"/>
    <w:uiPriority w:val="99"/>
    <w:unhideWhenUsed/>
    <w:rsid w:val="00A54F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70286895">
      <w:bodyDiv w:val="1"/>
      <w:marLeft w:val="0"/>
      <w:marRight w:val="0"/>
      <w:marTop w:val="0"/>
      <w:marBottom w:val="0"/>
      <w:divBdr>
        <w:top w:val="none" w:sz="0" w:space="0" w:color="auto"/>
        <w:left w:val="none" w:sz="0" w:space="0" w:color="auto"/>
        <w:bottom w:val="none" w:sz="0" w:space="0" w:color="auto"/>
        <w:right w:val="none" w:sz="0" w:space="0" w:color="auto"/>
      </w:divBdr>
      <w:divsChild>
        <w:div w:id="974407912">
          <w:marLeft w:val="0"/>
          <w:marRight w:val="0"/>
          <w:marTop w:val="0"/>
          <w:marBottom w:val="0"/>
          <w:divBdr>
            <w:top w:val="none" w:sz="0" w:space="0" w:color="auto"/>
            <w:left w:val="none" w:sz="0" w:space="0" w:color="auto"/>
            <w:bottom w:val="none" w:sz="0" w:space="0" w:color="auto"/>
            <w:right w:val="none" w:sz="0" w:space="0" w:color="auto"/>
          </w:divBdr>
        </w:div>
        <w:div w:id="93524096">
          <w:marLeft w:val="0"/>
          <w:marRight w:val="0"/>
          <w:marTop w:val="0"/>
          <w:marBottom w:val="0"/>
          <w:divBdr>
            <w:top w:val="none" w:sz="0" w:space="0" w:color="auto"/>
            <w:left w:val="none" w:sz="0" w:space="0" w:color="auto"/>
            <w:bottom w:val="none" w:sz="0" w:space="0" w:color="auto"/>
            <w:right w:val="none" w:sz="0" w:space="0" w:color="auto"/>
          </w:divBdr>
        </w:div>
      </w:divsChild>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27710543">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67334761">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22579777">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05190617">
      <w:bodyDiv w:val="1"/>
      <w:marLeft w:val="0"/>
      <w:marRight w:val="0"/>
      <w:marTop w:val="0"/>
      <w:marBottom w:val="0"/>
      <w:divBdr>
        <w:top w:val="none" w:sz="0" w:space="0" w:color="auto"/>
        <w:left w:val="none" w:sz="0" w:space="0" w:color="auto"/>
        <w:bottom w:val="none" w:sz="0" w:space="0" w:color="auto"/>
        <w:right w:val="none" w:sz="0" w:space="0" w:color="auto"/>
      </w:divBdr>
      <w:divsChild>
        <w:div w:id="706879784">
          <w:marLeft w:val="0"/>
          <w:marRight w:val="0"/>
          <w:marTop w:val="0"/>
          <w:marBottom w:val="0"/>
          <w:divBdr>
            <w:top w:val="none" w:sz="0" w:space="0" w:color="auto"/>
            <w:left w:val="none" w:sz="0" w:space="0" w:color="auto"/>
            <w:bottom w:val="none" w:sz="0" w:space="0" w:color="auto"/>
            <w:right w:val="none" w:sz="0" w:space="0" w:color="auto"/>
          </w:divBdr>
        </w:div>
        <w:div w:id="401678139">
          <w:marLeft w:val="0"/>
          <w:marRight w:val="0"/>
          <w:marTop w:val="0"/>
          <w:marBottom w:val="0"/>
          <w:divBdr>
            <w:top w:val="none" w:sz="0" w:space="0" w:color="auto"/>
            <w:left w:val="none" w:sz="0" w:space="0" w:color="auto"/>
            <w:bottom w:val="none" w:sz="0" w:space="0" w:color="auto"/>
            <w:right w:val="none" w:sz="0" w:space="0" w:color="auto"/>
          </w:divBdr>
        </w:div>
        <w:div w:id="1021668519">
          <w:marLeft w:val="0"/>
          <w:marRight w:val="0"/>
          <w:marTop w:val="0"/>
          <w:marBottom w:val="0"/>
          <w:divBdr>
            <w:top w:val="none" w:sz="0" w:space="0" w:color="auto"/>
            <w:left w:val="none" w:sz="0" w:space="0" w:color="auto"/>
            <w:bottom w:val="none" w:sz="0" w:space="0" w:color="auto"/>
            <w:right w:val="none" w:sz="0" w:space="0" w:color="auto"/>
          </w:divBdr>
        </w:div>
        <w:div w:id="1920940108">
          <w:marLeft w:val="0"/>
          <w:marRight w:val="0"/>
          <w:marTop w:val="0"/>
          <w:marBottom w:val="0"/>
          <w:divBdr>
            <w:top w:val="none" w:sz="0" w:space="0" w:color="auto"/>
            <w:left w:val="none" w:sz="0" w:space="0" w:color="auto"/>
            <w:bottom w:val="none" w:sz="0" w:space="0" w:color="auto"/>
            <w:right w:val="none" w:sz="0" w:space="0" w:color="auto"/>
          </w:divBdr>
        </w:div>
        <w:div w:id="1682009245">
          <w:marLeft w:val="0"/>
          <w:marRight w:val="0"/>
          <w:marTop w:val="0"/>
          <w:marBottom w:val="0"/>
          <w:divBdr>
            <w:top w:val="none" w:sz="0" w:space="0" w:color="auto"/>
            <w:left w:val="none" w:sz="0" w:space="0" w:color="auto"/>
            <w:bottom w:val="none" w:sz="0" w:space="0" w:color="auto"/>
            <w:right w:val="none" w:sz="0" w:space="0" w:color="auto"/>
          </w:divBdr>
        </w:div>
        <w:div w:id="1914389353">
          <w:marLeft w:val="0"/>
          <w:marRight w:val="0"/>
          <w:marTop w:val="0"/>
          <w:marBottom w:val="0"/>
          <w:divBdr>
            <w:top w:val="none" w:sz="0" w:space="0" w:color="auto"/>
            <w:left w:val="none" w:sz="0" w:space="0" w:color="auto"/>
            <w:bottom w:val="none" w:sz="0" w:space="0" w:color="auto"/>
            <w:right w:val="none" w:sz="0" w:space="0" w:color="auto"/>
          </w:divBdr>
        </w:div>
        <w:div w:id="525871091">
          <w:marLeft w:val="0"/>
          <w:marRight w:val="0"/>
          <w:marTop w:val="0"/>
          <w:marBottom w:val="0"/>
          <w:divBdr>
            <w:top w:val="none" w:sz="0" w:space="0" w:color="auto"/>
            <w:left w:val="none" w:sz="0" w:space="0" w:color="auto"/>
            <w:bottom w:val="none" w:sz="0" w:space="0" w:color="auto"/>
            <w:right w:val="none" w:sz="0" w:space="0" w:color="auto"/>
          </w:divBdr>
        </w:div>
      </w:divsChild>
    </w:div>
    <w:div w:id="653023037">
      <w:bodyDiv w:val="1"/>
      <w:marLeft w:val="0"/>
      <w:marRight w:val="0"/>
      <w:marTop w:val="0"/>
      <w:marBottom w:val="0"/>
      <w:divBdr>
        <w:top w:val="none" w:sz="0" w:space="0" w:color="auto"/>
        <w:left w:val="none" w:sz="0" w:space="0" w:color="auto"/>
        <w:bottom w:val="none" w:sz="0" w:space="0" w:color="auto"/>
        <w:right w:val="none" w:sz="0" w:space="0" w:color="auto"/>
      </w:divBdr>
      <w:divsChild>
        <w:div w:id="1984772934">
          <w:marLeft w:val="0"/>
          <w:marRight w:val="0"/>
          <w:marTop w:val="0"/>
          <w:marBottom w:val="0"/>
          <w:divBdr>
            <w:top w:val="none" w:sz="0" w:space="0" w:color="auto"/>
            <w:left w:val="none" w:sz="0" w:space="0" w:color="auto"/>
            <w:bottom w:val="none" w:sz="0" w:space="0" w:color="auto"/>
            <w:right w:val="none" w:sz="0" w:space="0" w:color="auto"/>
          </w:divBdr>
        </w:div>
        <w:div w:id="140343109">
          <w:marLeft w:val="0"/>
          <w:marRight w:val="0"/>
          <w:marTop w:val="0"/>
          <w:marBottom w:val="0"/>
          <w:divBdr>
            <w:top w:val="none" w:sz="0" w:space="0" w:color="auto"/>
            <w:left w:val="none" w:sz="0" w:space="0" w:color="auto"/>
            <w:bottom w:val="none" w:sz="0" w:space="0" w:color="auto"/>
            <w:right w:val="none" w:sz="0" w:space="0" w:color="auto"/>
          </w:divBdr>
        </w:div>
        <w:div w:id="974718217">
          <w:marLeft w:val="0"/>
          <w:marRight w:val="0"/>
          <w:marTop w:val="0"/>
          <w:marBottom w:val="0"/>
          <w:divBdr>
            <w:top w:val="none" w:sz="0" w:space="0" w:color="auto"/>
            <w:left w:val="none" w:sz="0" w:space="0" w:color="auto"/>
            <w:bottom w:val="none" w:sz="0" w:space="0" w:color="auto"/>
            <w:right w:val="none" w:sz="0" w:space="0" w:color="auto"/>
          </w:divBdr>
        </w:div>
        <w:div w:id="1008753458">
          <w:marLeft w:val="0"/>
          <w:marRight w:val="0"/>
          <w:marTop w:val="0"/>
          <w:marBottom w:val="0"/>
          <w:divBdr>
            <w:top w:val="none" w:sz="0" w:space="0" w:color="auto"/>
            <w:left w:val="none" w:sz="0" w:space="0" w:color="auto"/>
            <w:bottom w:val="none" w:sz="0" w:space="0" w:color="auto"/>
            <w:right w:val="none" w:sz="0" w:space="0" w:color="auto"/>
          </w:divBdr>
        </w:div>
        <w:div w:id="1098017126">
          <w:marLeft w:val="0"/>
          <w:marRight w:val="0"/>
          <w:marTop w:val="0"/>
          <w:marBottom w:val="0"/>
          <w:divBdr>
            <w:top w:val="none" w:sz="0" w:space="0" w:color="auto"/>
            <w:left w:val="none" w:sz="0" w:space="0" w:color="auto"/>
            <w:bottom w:val="none" w:sz="0" w:space="0" w:color="auto"/>
            <w:right w:val="none" w:sz="0" w:space="0" w:color="auto"/>
          </w:divBdr>
        </w:div>
      </w:divsChild>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787119149">
      <w:bodyDiv w:val="1"/>
      <w:marLeft w:val="0"/>
      <w:marRight w:val="0"/>
      <w:marTop w:val="0"/>
      <w:marBottom w:val="0"/>
      <w:divBdr>
        <w:top w:val="none" w:sz="0" w:space="0" w:color="auto"/>
        <w:left w:val="none" w:sz="0" w:space="0" w:color="auto"/>
        <w:bottom w:val="none" w:sz="0" w:space="0" w:color="auto"/>
        <w:right w:val="none" w:sz="0" w:space="0" w:color="auto"/>
      </w:divBdr>
      <w:divsChild>
        <w:div w:id="158693702">
          <w:marLeft w:val="0"/>
          <w:marRight w:val="0"/>
          <w:marTop w:val="0"/>
          <w:marBottom w:val="0"/>
          <w:divBdr>
            <w:top w:val="none" w:sz="0" w:space="0" w:color="auto"/>
            <w:left w:val="none" w:sz="0" w:space="0" w:color="auto"/>
            <w:bottom w:val="none" w:sz="0" w:space="0" w:color="auto"/>
            <w:right w:val="none" w:sz="0" w:space="0" w:color="auto"/>
          </w:divBdr>
        </w:div>
        <w:div w:id="1205488131">
          <w:marLeft w:val="0"/>
          <w:marRight w:val="0"/>
          <w:marTop w:val="0"/>
          <w:marBottom w:val="0"/>
          <w:divBdr>
            <w:top w:val="none" w:sz="0" w:space="0" w:color="auto"/>
            <w:left w:val="none" w:sz="0" w:space="0" w:color="auto"/>
            <w:bottom w:val="none" w:sz="0" w:space="0" w:color="auto"/>
            <w:right w:val="none" w:sz="0" w:space="0" w:color="auto"/>
          </w:divBdr>
        </w:div>
        <w:div w:id="1113398030">
          <w:marLeft w:val="0"/>
          <w:marRight w:val="0"/>
          <w:marTop w:val="0"/>
          <w:marBottom w:val="0"/>
          <w:divBdr>
            <w:top w:val="none" w:sz="0" w:space="0" w:color="auto"/>
            <w:left w:val="none" w:sz="0" w:space="0" w:color="auto"/>
            <w:bottom w:val="none" w:sz="0" w:space="0" w:color="auto"/>
            <w:right w:val="none" w:sz="0" w:space="0" w:color="auto"/>
          </w:divBdr>
        </w:div>
        <w:div w:id="130370303">
          <w:marLeft w:val="0"/>
          <w:marRight w:val="0"/>
          <w:marTop w:val="0"/>
          <w:marBottom w:val="0"/>
          <w:divBdr>
            <w:top w:val="none" w:sz="0" w:space="0" w:color="auto"/>
            <w:left w:val="none" w:sz="0" w:space="0" w:color="auto"/>
            <w:bottom w:val="none" w:sz="0" w:space="0" w:color="auto"/>
            <w:right w:val="none" w:sz="0" w:space="0" w:color="auto"/>
          </w:divBdr>
        </w:div>
        <w:div w:id="976956347">
          <w:marLeft w:val="0"/>
          <w:marRight w:val="0"/>
          <w:marTop w:val="0"/>
          <w:marBottom w:val="0"/>
          <w:divBdr>
            <w:top w:val="none" w:sz="0" w:space="0" w:color="auto"/>
            <w:left w:val="none" w:sz="0" w:space="0" w:color="auto"/>
            <w:bottom w:val="none" w:sz="0" w:space="0" w:color="auto"/>
            <w:right w:val="none" w:sz="0" w:space="0" w:color="auto"/>
          </w:divBdr>
        </w:div>
      </w:divsChild>
    </w:div>
    <w:div w:id="958032197">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24423409">
      <w:bodyDiv w:val="1"/>
      <w:marLeft w:val="0"/>
      <w:marRight w:val="0"/>
      <w:marTop w:val="0"/>
      <w:marBottom w:val="0"/>
      <w:divBdr>
        <w:top w:val="none" w:sz="0" w:space="0" w:color="auto"/>
        <w:left w:val="none" w:sz="0" w:space="0" w:color="auto"/>
        <w:bottom w:val="none" w:sz="0" w:space="0" w:color="auto"/>
        <w:right w:val="none" w:sz="0" w:space="0" w:color="auto"/>
      </w:divBdr>
    </w:div>
    <w:div w:id="1134297854">
      <w:bodyDiv w:val="1"/>
      <w:marLeft w:val="0"/>
      <w:marRight w:val="0"/>
      <w:marTop w:val="0"/>
      <w:marBottom w:val="0"/>
      <w:divBdr>
        <w:top w:val="none" w:sz="0" w:space="0" w:color="auto"/>
        <w:left w:val="none" w:sz="0" w:space="0" w:color="auto"/>
        <w:bottom w:val="none" w:sz="0" w:space="0" w:color="auto"/>
        <w:right w:val="none" w:sz="0" w:space="0" w:color="auto"/>
      </w:divBdr>
      <w:divsChild>
        <w:div w:id="1194465202">
          <w:marLeft w:val="0"/>
          <w:marRight w:val="0"/>
          <w:marTop w:val="0"/>
          <w:marBottom w:val="0"/>
          <w:divBdr>
            <w:top w:val="none" w:sz="0" w:space="0" w:color="auto"/>
            <w:left w:val="none" w:sz="0" w:space="0" w:color="auto"/>
            <w:bottom w:val="none" w:sz="0" w:space="0" w:color="auto"/>
            <w:right w:val="none" w:sz="0" w:space="0" w:color="auto"/>
          </w:divBdr>
          <w:divsChild>
            <w:div w:id="518549896">
              <w:marLeft w:val="0"/>
              <w:marRight w:val="0"/>
              <w:marTop w:val="0"/>
              <w:marBottom w:val="0"/>
              <w:divBdr>
                <w:top w:val="none" w:sz="0" w:space="0" w:color="auto"/>
                <w:left w:val="none" w:sz="0" w:space="0" w:color="auto"/>
                <w:bottom w:val="none" w:sz="0" w:space="0" w:color="auto"/>
                <w:right w:val="none" w:sz="0" w:space="0" w:color="auto"/>
              </w:divBdr>
            </w:div>
            <w:div w:id="355622545">
              <w:marLeft w:val="0"/>
              <w:marRight w:val="0"/>
              <w:marTop w:val="0"/>
              <w:marBottom w:val="0"/>
              <w:divBdr>
                <w:top w:val="none" w:sz="0" w:space="0" w:color="auto"/>
                <w:left w:val="none" w:sz="0" w:space="0" w:color="auto"/>
                <w:bottom w:val="none" w:sz="0" w:space="0" w:color="auto"/>
                <w:right w:val="none" w:sz="0" w:space="0" w:color="auto"/>
              </w:divBdr>
            </w:div>
            <w:div w:id="680007795">
              <w:marLeft w:val="0"/>
              <w:marRight w:val="0"/>
              <w:marTop w:val="0"/>
              <w:marBottom w:val="0"/>
              <w:divBdr>
                <w:top w:val="none" w:sz="0" w:space="0" w:color="auto"/>
                <w:left w:val="none" w:sz="0" w:space="0" w:color="auto"/>
                <w:bottom w:val="none" w:sz="0" w:space="0" w:color="auto"/>
                <w:right w:val="none" w:sz="0" w:space="0" w:color="auto"/>
              </w:divBdr>
            </w:div>
            <w:div w:id="996298143">
              <w:marLeft w:val="0"/>
              <w:marRight w:val="0"/>
              <w:marTop w:val="0"/>
              <w:marBottom w:val="0"/>
              <w:divBdr>
                <w:top w:val="none" w:sz="0" w:space="0" w:color="auto"/>
                <w:left w:val="none" w:sz="0" w:space="0" w:color="auto"/>
                <w:bottom w:val="none" w:sz="0" w:space="0" w:color="auto"/>
                <w:right w:val="none" w:sz="0" w:space="0" w:color="auto"/>
              </w:divBdr>
            </w:div>
            <w:div w:id="1814446739">
              <w:marLeft w:val="0"/>
              <w:marRight w:val="0"/>
              <w:marTop w:val="0"/>
              <w:marBottom w:val="0"/>
              <w:divBdr>
                <w:top w:val="none" w:sz="0" w:space="0" w:color="auto"/>
                <w:left w:val="none" w:sz="0" w:space="0" w:color="auto"/>
                <w:bottom w:val="none" w:sz="0" w:space="0" w:color="auto"/>
                <w:right w:val="none" w:sz="0" w:space="0" w:color="auto"/>
              </w:divBdr>
            </w:div>
            <w:div w:id="259341706">
              <w:marLeft w:val="0"/>
              <w:marRight w:val="0"/>
              <w:marTop w:val="0"/>
              <w:marBottom w:val="0"/>
              <w:divBdr>
                <w:top w:val="none" w:sz="0" w:space="0" w:color="auto"/>
                <w:left w:val="none" w:sz="0" w:space="0" w:color="auto"/>
                <w:bottom w:val="none" w:sz="0" w:space="0" w:color="auto"/>
                <w:right w:val="none" w:sz="0" w:space="0" w:color="auto"/>
              </w:divBdr>
            </w:div>
            <w:div w:id="2073501669">
              <w:marLeft w:val="0"/>
              <w:marRight w:val="0"/>
              <w:marTop w:val="0"/>
              <w:marBottom w:val="0"/>
              <w:divBdr>
                <w:top w:val="none" w:sz="0" w:space="0" w:color="auto"/>
                <w:left w:val="none" w:sz="0" w:space="0" w:color="auto"/>
                <w:bottom w:val="none" w:sz="0" w:space="0" w:color="auto"/>
                <w:right w:val="none" w:sz="0" w:space="0" w:color="auto"/>
              </w:divBdr>
            </w:div>
            <w:div w:id="652375710">
              <w:marLeft w:val="0"/>
              <w:marRight w:val="0"/>
              <w:marTop w:val="0"/>
              <w:marBottom w:val="0"/>
              <w:divBdr>
                <w:top w:val="none" w:sz="0" w:space="0" w:color="auto"/>
                <w:left w:val="none" w:sz="0" w:space="0" w:color="auto"/>
                <w:bottom w:val="none" w:sz="0" w:space="0" w:color="auto"/>
                <w:right w:val="none" w:sz="0" w:space="0" w:color="auto"/>
              </w:divBdr>
            </w:div>
            <w:div w:id="388574697">
              <w:marLeft w:val="0"/>
              <w:marRight w:val="0"/>
              <w:marTop w:val="0"/>
              <w:marBottom w:val="0"/>
              <w:divBdr>
                <w:top w:val="none" w:sz="0" w:space="0" w:color="auto"/>
                <w:left w:val="none" w:sz="0" w:space="0" w:color="auto"/>
                <w:bottom w:val="none" w:sz="0" w:space="0" w:color="auto"/>
                <w:right w:val="none" w:sz="0" w:space="0" w:color="auto"/>
              </w:divBdr>
            </w:div>
            <w:div w:id="599610635">
              <w:marLeft w:val="0"/>
              <w:marRight w:val="0"/>
              <w:marTop w:val="0"/>
              <w:marBottom w:val="0"/>
              <w:divBdr>
                <w:top w:val="none" w:sz="0" w:space="0" w:color="auto"/>
                <w:left w:val="none" w:sz="0" w:space="0" w:color="auto"/>
                <w:bottom w:val="none" w:sz="0" w:space="0" w:color="auto"/>
                <w:right w:val="none" w:sz="0" w:space="0" w:color="auto"/>
              </w:divBdr>
            </w:div>
            <w:div w:id="585963805">
              <w:marLeft w:val="0"/>
              <w:marRight w:val="0"/>
              <w:marTop w:val="0"/>
              <w:marBottom w:val="0"/>
              <w:divBdr>
                <w:top w:val="none" w:sz="0" w:space="0" w:color="auto"/>
                <w:left w:val="none" w:sz="0" w:space="0" w:color="auto"/>
                <w:bottom w:val="none" w:sz="0" w:space="0" w:color="auto"/>
                <w:right w:val="none" w:sz="0" w:space="0" w:color="auto"/>
              </w:divBdr>
            </w:div>
            <w:div w:id="1938055987">
              <w:marLeft w:val="0"/>
              <w:marRight w:val="0"/>
              <w:marTop w:val="0"/>
              <w:marBottom w:val="0"/>
              <w:divBdr>
                <w:top w:val="none" w:sz="0" w:space="0" w:color="auto"/>
                <w:left w:val="none" w:sz="0" w:space="0" w:color="auto"/>
                <w:bottom w:val="none" w:sz="0" w:space="0" w:color="auto"/>
                <w:right w:val="none" w:sz="0" w:space="0" w:color="auto"/>
              </w:divBdr>
            </w:div>
          </w:divsChild>
        </w:div>
        <w:div w:id="526213344">
          <w:marLeft w:val="0"/>
          <w:marRight w:val="0"/>
          <w:marTop w:val="0"/>
          <w:marBottom w:val="0"/>
          <w:divBdr>
            <w:top w:val="none" w:sz="0" w:space="0" w:color="auto"/>
            <w:left w:val="none" w:sz="0" w:space="0" w:color="auto"/>
            <w:bottom w:val="none" w:sz="0" w:space="0" w:color="auto"/>
            <w:right w:val="none" w:sz="0" w:space="0" w:color="auto"/>
          </w:divBdr>
        </w:div>
        <w:div w:id="472451538">
          <w:marLeft w:val="0"/>
          <w:marRight w:val="0"/>
          <w:marTop w:val="0"/>
          <w:marBottom w:val="0"/>
          <w:divBdr>
            <w:top w:val="none" w:sz="0" w:space="0" w:color="auto"/>
            <w:left w:val="none" w:sz="0" w:space="0" w:color="auto"/>
            <w:bottom w:val="none" w:sz="0" w:space="0" w:color="auto"/>
            <w:right w:val="none" w:sz="0" w:space="0" w:color="auto"/>
          </w:divBdr>
        </w:div>
      </w:divsChild>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79670860">
      <w:bodyDiv w:val="1"/>
      <w:marLeft w:val="0"/>
      <w:marRight w:val="0"/>
      <w:marTop w:val="0"/>
      <w:marBottom w:val="0"/>
      <w:divBdr>
        <w:top w:val="none" w:sz="0" w:space="0" w:color="auto"/>
        <w:left w:val="none" w:sz="0" w:space="0" w:color="auto"/>
        <w:bottom w:val="none" w:sz="0" w:space="0" w:color="auto"/>
        <w:right w:val="none" w:sz="0" w:space="0" w:color="auto"/>
      </w:divBdr>
      <w:divsChild>
        <w:div w:id="550963113">
          <w:marLeft w:val="0"/>
          <w:marRight w:val="0"/>
          <w:marTop w:val="0"/>
          <w:marBottom w:val="0"/>
          <w:divBdr>
            <w:top w:val="none" w:sz="0" w:space="0" w:color="auto"/>
            <w:left w:val="none" w:sz="0" w:space="0" w:color="auto"/>
            <w:bottom w:val="none" w:sz="0" w:space="0" w:color="auto"/>
            <w:right w:val="none" w:sz="0" w:space="0" w:color="auto"/>
          </w:divBdr>
        </w:div>
        <w:div w:id="1458833410">
          <w:marLeft w:val="0"/>
          <w:marRight w:val="0"/>
          <w:marTop w:val="0"/>
          <w:marBottom w:val="0"/>
          <w:divBdr>
            <w:top w:val="none" w:sz="0" w:space="0" w:color="auto"/>
            <w:left w:val="none" w:sz="0" w:space="0" w:color="auto"/>
            <w:bottom w:val="none" w:sz="0" w:space="0" w:color="auto"/>
            <w:right w:val="none" w:sz="0" w:space="0" w:color="auto"/>
          </w:divBdr>
        </w:div>
        <w:div w:id="879972016">
          <w:marLeft w:val="0"/>
          <w:marRight w:val="0"/>
          <w:marTop w:val="0"/>
          <w:marBottom w:val="0"/>
          <w:divBdr>
            <w:top w:val="none" w:sz="0" w:space="0" w:color="auto"/>
            <w:left w:val="none" w:sz="0" w:space="0" w:color="auto"/>
            <w:bottom w:val="none" w:sz="0" w:space="0" w:color="auto"/>
            <w:right w:val="none" w:sz="0" w:space="0" w:color="auto"/>
          </w:divBdr>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607185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33057072">
      <w:bodyDiv w:val="1"/>
      <w:marLeft w:val="0"/>
      <w:marRight w:val="0"/>
      <w:marTop w:val="0"/>
      <w:marBottom w:val="0"/>
      <w:divBdr>
        <w:top w:val="none" w:sz="0" w:space="0" w:color="auto"/>
        <w:left w:val="none" w:sz="0" w:space="0" w:color="auto"/>
        <w:bottom w:val="none" w:sz="0" w:space="0" w:color="auto"/>
        <w:right w:val="none" w:sz="0" w:space="0" w:color="auto"/>
      </w:divBdr>
      <w:divsChild>
        <w:div w:id="1750544467">
          <w:marLeft w:val="0"/>
          <w:marRight w:val="0"/>
          <w:marTop w:val="0"/>
          <w:marBottom w:val="0"/>
          <w:divBdr>
            <w:top w:val="none" w:sz="0" w:space="0" w:color="auto"/>
            <w:left w:val="none" w:sz="0" w:space="0" w:color="auto"/>
            <w:bottom w:val="none" w:sz="0" w:space="0" w:color="auto"/>
            <w:right w:val="none" w:sz="0" w:space="0" w:color="auto"/>
          </w:divBdr>
          <w:divsChild>
            <w:div w:id="440806868">
              <w:marLeft w:val="0"/>
              <w:marRight w:val="0"/>
              <w:marTop w:val="0"/>
              <w:marBottom w:val="0"/>
              <w:divBdr>
                <w:top w:val="none" w:sz="0" w:space="0" w:color="auto"/>
                <w:left w:val="none" w:sz="0" w:space="0" w:color="auto"/>
                <w:bottom w:val="none" w:sz="0" w:space="0" w:color="auto"/>
                <w:right w:val="none" w:sz="0" w:space="0" w:color="auto"/>
              </w:divBdr>
            </w:div>
            <w:div w:id="901061810">
              <w:marLeft w:val="0"/>
              <w:marRight w:val="0"/>
              <w:marTop w:val="0"/>
              <w:marBottom w:val="0"/>
              <w:divBdr>
                <w:top w:val="none" w:sz="0" w:space="0" w:color="auto"/>
                <w:left w:val="none" w:sz="0" w:space="0" w:color="auto"/>
                <w:bottom w:val="none" w:sz="0" w:space="0" w:color="auto"/>
                <w:right w:val="none" w:sz="0" w:space="0" w:color="auto"/>
              </w:divBdr>
            </w:div>
            <w:div w:id="1451631673">
              <w:marLeft w:val="0"/>
              <w:marRight w:val="0"/>
              <w:marTop w:val="0"/>
              <w:marBottom w:val="0"/>
              <w:divBdr>
                <w:top w:val="none" w:sz="0" w:space="0" w:color="auto"/>
                <w:left w:val="none" w:sz="0" w:space="0" w:color="auto"/>
                <w:bottom w:val="none" w:sz="0" w:space="0" w:color="auto"/>
                <w:right w:val="none" w:sz="0" w:space="0" w:color="auto"/>
              </w:divBdr>
            </w:div>
            <w:div w:id="492333244">
              <w:marLeft w:val="0"/>
              <w:marRight w:val="0"/>
              <w:marTop w:val="0"/>
              <w:marBottom w:val="0"/>
              <w:divBdr>
                <w:top w:val="none" w:sz="0" w:space="0" w:color="auto"/>
                <w:left w:val="none" w:sz="0" w:space="0" w:color="auto"/>
                <w:bottom w:val="none" w:sz="0" w:space="0" w:color="auto"/>
                <w:right w:val="none" w:sz="0" w:space="0" w:color="auto"/>
              </w:divBdr>
            </w:div>
            <w:div w:id="536283719">
              <w:marLeft w:val="0"/>
              <w:marRight w:val="0"/>
              <w:marTop w:val="0"/>
              <w:marBottom w:val="0"/>
              <w:divBdr>
                <w:top w:val="none" w:sz="0" w:space="0" w:color="auto"/>
                <w:left w:val="none" w:sz="0" w:space="0" w:color="auto"/>
                <w:bottom w:val="none" w:sz="0" w:space="0" w:color="auto"/>
                <w:right w:val="none" w:sz="0" w:space="0" w:color="auto"/>
              </w:divBdr>
            </w:div>
            <w:div w:id="75564415">
              <w:marLeft w:val="0"/>
              <w:marRight w:val="0"/>
              <w:marTop w:val="0"/>
              <w:marBottom w:val="0"/>
              <w:divBdr>
                <w:top w:val="none" w:sz="0" w:space="0" w:color="auto"/>
                <w:left w:val="none" w:sz="0" w:space="0" w:color="auto"/>
                <w:bottom w:val="none" w:sz="0" w:space="0" w:color="auto"/>
                <w:right w:val="none" w:sz="0" w:space="0" w:color="auto"/>
              </w:divBdr>
            </w:div>
          </w:divsChild>
        </w:div>
        <w:div w:id="1449278911">
          <w:marLeft w:val="0"/>
          <w:marRight w:val="0"/>
          <w:marTop w:val="0"/>
          <w:marBottom w:val="0"/>
          <w:divBdr>
            <w:top w:val="none" w:sz="0" w:space="0" w:color="auto"/>
            <w:left w:val="none" w:sz="0" w:space="0" w:color="auto"/>
            <w:bottom w:val="none" w:sz="0" w:space="0" w:color="auto"/>
            <w:right w:val="none" w:sz="0" w:space="0" w:color="auto"/>
          </w:divBdr>
          <w:divsChild>
            <w:div w:id="7801725">
              <w:marLeft w:val="0"/>
              <w:marRight w:val="0"/>
              <w:marTop w:val="0"/>
              <w:marBottom w:val="0"/>
              <w:divBdr>
                <w:top w:val="none" w:sz="0" w:space="0" w:color="auto"/>
                <w:left w:val="none" w:sz="0" w:space="0" w:color="auto"/>
                <w:bottom w:val="none" w:sz="0" w:space="0" w:color="auto"/>
                <w:right w:val="none" w:sz="0" w:space="0" w:color="auto"/>
              </w:divBdr>
            </w:div>
            <w:div w:id="1336030277">
              <w:marLeft w:val="0"/>
              <w:marRight w:val="0"/>
              <w:marTop w:val="0"/>
              <w:marBottom w:val="0"/>
              <w:divBdr>
                <w:top w:val="none" w:sz="0" w:space="0" w:color="auto"/>
                <w:left w:val="none" w:sz="0" w:space="0" w:color="auto"/>
                <w:bottom w:val="none" w:sz="0" w:space="0" w:color="auto"/>
                <w:right w:val="none" w:sz="0" w:space="0" w:color="auto"/>
              </w:divBdr>
            </w:div>
            <w:div w:id="1159423444">
              <w:marLeft w:val="0"/>
              <w:marRight w:val="0"/>
              <w:marTop w:val="0"/>
              <w:marBottom w:val="0"/>
              <w:divBdr>
                <w:top w:val="none" w:sz="0" w:space="0" w:color="auto"/>
                <w:left w:val="none" w:sz="0" w:space="0" w:color="auto"/>
                <w:bottom w:val="none" w:sz="0" w:space="0" w:color="auto"/>
                <w:right w:val="none" w:sz="0" w:space="0" w:color="auto"/>
              </w:divBdr>
            </w:div>
            <w:div w:id="691297961">
              <w:marLeft w:val="0"/>
              <w:marRight w:val="0"/>
              <w:marTop w:val="0"/>
              <w:marBottom w:val="0"/>
              <w:divBdr>
                <w:top w:val="none" w:sz="0" w:space="0" w:color="auto"/>
                <w:left w:val="none" w:sz="0" w:space="0" w:color="auto"/>
                <w:bottom w:val="none" w:sz="0" w:space="0" w:color="auto"/>
                <w:right w:val="none" w:sz="0" w:space="0" w:color="auto"/>
              </w:divBdr>
            </w:div>
            <w:div w:id="295179692">
              <w:marLeft w:val="0"/>
              <w:marRight w:val="0"/>
              <w:marTop w:val="0"/>
              <w:marBottom w:val="0"/>
              <w:divBdr>
                <w:top w:val="none" w:sz="0" w:space="0" w:color="auto"/>
                <w:left w:val="none" w:sz="0" w:space="0" w:color="auto"/>
                <w:bottom w:val="none" w:sz="0" w:space="0" w:color="auto"/>
                <w:right w:val="none" w:sz="0" w:space="0" w:color="auto"/>
              </w:divBdr>
            </w:div>
            <w:div w:id="1659993566">
              <w:marLeft w:val="0"/>
              <w:marRight w:val="0"/>
              <w:marTop w:val="0"/>
              <w:marBottom w:val="0"/>
              <w:divBdr>
                <w:top w:val="none" w:sz="0" w:space="0" w:color="auto"/>
                <w:left w:val="none" w:sz="0" w:space="0" w:color="auto"/>
                <w:bottom w:val="none" w:sz="0" w:space="0" w:color="auto"/>
                <w:right w:val="none" w:sz="0" w:space="0" w:color="auto"/>
              </w:divBdr>
            </w:div>
            <w:div w:id="1310669945">
              <w:marLeft w:val="0"/>
              <w:marRight w:val="0"/>
              <w:marTop w:val="0"/>
              <w:marBottom w:val="0"/>
              <w:divBdr>
                <w:top w:val="none" w:sz="0" w:space="0" w:color="auto"/>
                <w:left w:val="none" w:sz="0" w:space="0" w:color="auto"/>
                <w:bottom w:val="none" w:sz="0" w:space="0" w:color="auto"/>
                <w:right w:val="none" w:sz="0" w:space="0" w:color="auto"/>
              </w:divBdr>
            </w:div>
            <w:div w:id="2034380895">
              <w:marLeft w:val="0"/>
              <w:marRight w:val="0"/>
              <w:marTop w:val="0"/>
              <w:marBottom w:val="0"/>
              <w:divBdr>
                <w:top w:val="none" w:sz="0" w:space="0" w:color="auto"/>
                <w:left w:val="none" w:sz="0" w:space="0" w:color="auto"/>
                <w:bottom w:val="none" w:sz="0" w:space="0" w:color="auto"/>
                <w:right w:val="none" w:sz="0" w:space="0" w:color="auto"/>
              </w:divBdr>
            </w:div>
            <w:div w:id="1352491826">
              <w:marLeft w:val="0"/>
              <w:marRight w:val="0"/>
              <w:marTop w:val="0"/>
              <w:marBottom w:val="0"/>
              <w:divBdr>
                <w:top w:val="none" w:sz="0" w:space="0" w:color="auto"/>
                <w:left w:val="none" w:sz="0" w:space="0" w:color="auto"/>
                <w:bottom w:val="none" w:sz="0" w:space="0" w:color="auto"/>
                <w:right w:val="none" w:sz="0" w:space="0" w:color="auto"/>
              </w:divBdr>
            </w:div>
            <w:div w:id="1336149882">
              <w:marLeft w:val="0"/>
              <w:marRight w:val="0"/>
              <w:marTop w:val="0"/>
              <w:marBottom w:val="0"/>
              <w:divBdr>
                <w:top w:val="none" w:sz="0" w:space="0" w:color="auto"/>
                <w:left w:val="none" w:sz="0" w:space="0" w:color="auto"/>
                <w:bottom w:val="none" w:sz="0" w:space="0" w:color="auto"/>
                <w:right w:val="none" w:sz="0" w:space="0" w:color="auto"/>
              </w:divBdr>
            </w:div>
            <w:div w:id="353924836">
              <w:marLeft w:val="0"/>
              <w:marRight w:val="0"/>
              <w:marTop w:val="0"/>
              <w:marBottom w:val="0"/>
              <w:divBdr>
                <w:top w:val="none" w:sz="0" w:space="0" w:color="auto"/>
                <w:left w:val="none" w:sz="0" w:space="0" w:color="auto"/>
                <w:bottom w:val="none" w:sz="0" w:space="0" w:color="auto"/>
                <w:right w:val="none" w:sz="0" w:space="0" w:color="auto"/>
              </w:divBdr>
            </w:div>
            <w:div w:id="1109201265">
              <w:marLeft w:val="0"/>
              <w:marRight w:val="0"/>
              <w:marTop w:val="0"/>
              <w:marBottom w:val="0"/>
              <w:divBdr>
                <w:top w:val="none" w:sz="0" w:space="0" w:color="auto"/>
                <w:left w:val="none" w:sz="0" w:space="0" w:color="auto"/>
                <w:bottom w:val="none" w:sz="0" w:space="0" w:color="auto"/>
                <w:right w:val="none" w:sz="0" w:space="0" w:color="auto"/>
              </w:divBdr>
            </w:div>
            <w:div w:id="1490555616">
              <w:marLeft w:val="0"/>
              <w:marRight w:val="0"/>
              <w:marTop w:val="0"/>
              <w:marBottom w:val="0"/>
              <w:divBdr>
                <w:top w:val="none" w:sz="0" w:space="0" w:color="auto"/>
                <w:left w:val="none" w:sz="0" w:space="0" w:color="auto"/>
                <w:bottom w:val="none" w:sz="0" w:space="0" w:color="auto"/>
                <w:right w:val="none" w:sz="0" w:space="0" w:color="auto"/>
              </w:divBdr>
            </w:div>
            <w:div w:id="508520450">
              <w:marLeft w:val="0"/>
              <w:marRight w:val="0"/>
              <w:marTop w:val="0"/>
              <w:marBottom w:val="0"/>
              <w:divBdr>
                <w:top w:val="none" w:sz="0" w:space="0" w:color="auto"/>
                <w:left w:val="none" w:sz="0" w:space="0" w:color="auto"/>
                <w:bottom w:val="none" w:sz="0" w:space="0" w:color="auto"/>
                <w:right w:val="none" w:sz="0" w:space="0" w:color="auto"/>
              </w:divBdr>
            </w:div>
            <w:div w:id="1317301816">
              <w:marLeft w:val="0"/>
              <w:marRight w:val="0"/>
              <w:marTop w:val="0"/>
              <w:marBottom w:val="0"/>
              <w:divBdr>
                <w:top w:val="none" w:sz="0" w:space="0" w:color="auto"/>
                <w:left w:val="none" w:sz="0" w:space="0" w:color="auto"/>
                <w:bottom w:val="none" w:sz="0" w:space="0" w:color="auto"/>
                <w:right w:val="none" w:sz="0" w:space="0" w:color="auto"/>
              </w:divBdr>
            </w:div>
            <w:div w:id="296032590">
              <w:marLeft w:val="0"/>
              <w:marRight w:val="0"/>
              <w:marTop w:val="0"/>
              <w:marBottom w:val="0"/>
              <w:divBdr>
                <w:top w:val="none" w:sz="0" w:space="0" w:color="auto"/>
                <w:left w:val="none" w:sz="0" w:space="0" w:color="auto"/>
                <w:bottom w:val="none" w:sz="0" w:space="0" w:color="auto"/>
                <w:right w:val="none" w:sz="0" w:space="0" w:color="auto"/>
              </w:divBdr>
            </w:div>
            <w:div w:id="1161119573">
              <w:marLeft w:val="0"/>
              <w:marRight w:val="0"/>
              <w:marTop w:val="0"/>
              <w:marBottom w:val="0"/>
              <w:divBdr>
                <w:top w:val="none" w:sz="0" w:space="0" w:color="auto"/>
                <w:left w:val="none" w:sz="0" w:space="0" w:color="auto"/>
                <w:bottom w:val="none" w:sz="0" w:space="0" w:color="auto"/>
                <w:right w:val="none" w:sz="0" w:space="0" w:color="auto"/>
              </w:divBdr>
            </w:div>
            <w:div w:id="471752769">
              <w:marLeft w:val="0"/>
              <w:marRight w:val="0"/>
              <w:marTop w:val="0"/>
              <w:marBottom w:val="0"/>
              <w:divBdr>
                <w:top w:val="none" w:sz="0" w:space="0" w:color="auto"/>
                <w:left w:val="none" w:sz="0" w:space="0" w:color="auto"/>
                <w:bottom w:val="none" w:sz="0" w:space="0" w:color="auto"/>
                <w:right w:val="none" w:sz="0" w:space="0" w:color="auto"/>
              </w:divBdr>
            </w:div>
            <w:div w:id="912130947">
              <w:marLeft w:val="0"/>
              <w:marRight w:val="0"/>
              <w:marTop w:val="0"/>
              <w:marBottom w:val="0"/>
              <w:divBdr>
                <w:top w:val="none" w:sz="0" w:space="0" w:color="auto"/>
                <w:left w:val="none" w:sz="0" w:space="0" w:color="auto"/>
                <w:bottom w:val="none" w:sz="0" w:space="0" w:color="auto"/>
                <w:right w:val="none" w:sz="0" w:space="0" w:color="auto"/>
              </w:divBdr>
            </w:div>
            <w:div w:id="933167260">
              <w:marLeft w:val="0"/>
              <w:marRight w:val="0"/>
              <w:marTop w:val="0"/>
              <w:marBottom w:val="0"/>
              <w:divBdr>
                <w:top w:val="none" w:sz="0" w:space="0" w:color="auto"/>
                <w:left w:val="none" w:sz="0" w:space="0" w:color="auto"/>
                <w:bottom w:val="none" w:sz="0" w:space="0" w:color="auto"/>
                <w:right w:val="none" w:sz="0" w:space="0" w:color="auto"/>
              </w:divBdr>
            </w:div>
          </w:divsChild>
        </w:div>
        <w:div w:id="1242639412">
          <w:marLeft w:val="0"/>
          <w:marRight w:val="0"/>
          <w:marTop w:val="0"/>
          <w:marBottom w:val="0"/>
          <w:divBdr>
            <w:top w:val="none" w:sz="0" w:space="0" w:color="auto"/>
            <w:left w:val="none" w:sz="0" w:space="0" w:color="auto"/>
            <w:bottom w:val="none" w:sz="0" w:space="0" w:color="auto"/>
            <w:right w:val="none" w:sz="0" w:space="0" w:color="auto"/>
          </w:divBdr>
          <w:divsChild>
            <w:div w:id="108817755">
              <w:marLeft w:val="0"/>
              <w:marRight w:val="0"/>
              <w:marTop w:val="0"/>
              <w:marBottom w:val="0"/>
              <w:divBdr>
                <w:top w:val="none" w:sz="0" w:space="0" w:color="auto"/>
                <w:left w:val="none" w:sz="0" w:space="0" w:color="auto"/>
                <w:bottom w:val="none" w:sz="0" w:space="0" w:color="auto"/>
                <w:right w:val="none" w:sz="0" w:space="0" w:color="auto"/>
              </w:divBdr>
            </w:div>
            <w:div w:id="2006467523">
              <w:marLeft w:val="0"/>
              <w:marRight w:val="0"/>
              <w:marTop w:val="0"/>
              <w:marBottom w:val="0"/>
              <w:divBdr>
                <w:top w:val="none" w:sz="0" w:space="0" w:color="auto"/>
                <w:left w:val="none" w:sz="0" w:space="0" w:color="auto"/>
                <w:bottom w:val="none" w:sz="0" w:space="0" w:color="auto"/>
                <w:right w:val="none" w:sz="0" w:space="0" w:color="auto"/>
              </w:divBdr>
            </w:div>
            <w:div w:id="661154972">
              <w:marLeft w:val="0"/>
              <w:marRight w:val="0"/>
              <w:marTop w:val="0"/>
              <w:marBottom w:val="0"/>
              <w:divBdr>
                <w:top w:val="none" w:sz="0" w:space="0" w:color="auto"/>
                <w:left w:val="none" w:sz="0" w:space="0" w:color="auto"/>
                <w:bottom w:val="none" w:sz="0" w:space="0" w:color="auto"/>
                <w:right w:val="none" w:sz="0" w:space="0" w:color="auto"/>
              </w:divBdr>
            </w:div>
            <w:div w:id="723602127">
              <w:marLeft w:val="0"/>
              <w:marRight w:val="0"/>
              <w:marTop w:val="0"/>
              <w:marBottom w:val="0"/>
              <w:divBdr>
                <w:top w:val="none" w:sz="0" w:space="0" w:color="auto"/>
                <w:left w:val="none" w:sz="0" w:space="0" w:color="auto"/>
                <w:bottom w:val="none" w:sz="0" w:space="0" w:color="auto"/>
                <w:right w:val="none" w:sz="0" w:space="0" w:color="auto"/>
              </w:divBdr>
            </w:div>
            <w:div w:id="52043572">
              <w:marLeft w:val="0"/>
              <w:marRight w:val="0"/>
              <w:marTop w:val="0"/>
              <w:marBottom w:val="0"/>
              <w:divBdr>
                <w:top w:val="none" w:sz="0" w:space="0" w:color="auto"/>
                <w:left w:val="none" w:sz="0" w:space="0" w:color="auto"/>
                <w:bottom w:val="none" w:sz="0" w:space="0" w:color="auto"/>
                <w:right w:val="none" w:sz="0" w:space="0" w:color="auto"/>
              </w:divBdr>
            </w:div>
            <w:div w:id="527525400">
              <w:marLeft w:val="0"/>
              <w:marRight w:val="0"/>
              <w:marTop w:val="0"/>
              <w:marBottom w:val="0"/>
              <w:divBdr>
                <w:top w:val="none" w:sz="0" w:space="0" w:color="auto"/>
                <w:left w:val="none" w:sz="0" w:space="0" w:color="auto"/>
                <w:bottom w:val="none" w:sz="0" w:space="0" w:color="auto"/>
                <w:right w:val="none" w:sz="0" w:space="0" w:color="auto"/>
              </w:divBdr>
            </w:div>
            <w:div w:id="990065111">
              <w:marLeft w:val="0"/>
              <w:marRight w:val="0"/>
              <w:marTop w:val="0"/>
              <w:marBottom w:val="0"/>
              <w:divBdr>
                <w:top w:val="none" w:sz="0" w:space="0" w:color="auto"/>
                <w:left w:val="none" w:sz="0" w:space="0" w:color="auto"/>
                <w:bottom w:val="none" w:sz="0" w:space="0" w:color="auto"/>
                <w:right w:val="none" w:sz="0" w:space="0" w:color="auto"/>
              </w:divBdr>
            </w:div>
            <w:div w:id="355277364">
              <w:marLeft w:val="0"/>
              <w:marRight w:val="0"/>
              <w:marTop w:val="0"/>
              <w:marBottom w:val="0"/>
              <w:divBdr>
                <w:top w:val="none" w:sz="0" w:space="0" w:color="auto"/>
                <w:left w:val="none" w:sz="0" w:space="0" w:color="auto"/>
                <w:bottom w:val="none" w:sz="0" w:space="0" w:color="auto"/>
                <w:right w:val="none" w:sz="0" w:space="0" w:color="auto"/>
              </w:divBdr>
            </w:div>
            <w:div w:id="9636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0108959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handbook.fca.org.uk/handbook/FEES/3/Annex9.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hmctsformfinder.justice.gov.uk/courtfinder/forms/t400-eng.pdf" TargetMode="External"/><Relationship Id="rId2" Type="http://schemas.openxmlformats.org/officeDocument/2006/relationships/customXml" Target="../customXml/item2.xml"/><Relationship Id="rId16" Type="http://schemas.openxmlformats.org/officeDocument/2006/relationships/hyperlink" Target="https://www.fca.org.uk/publication/forms/cc-validation-order-form-post.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ca.org.uk/publication/forms/cc-validation-order-form-pre.docx"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inalised-guidance/fg17-0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e0d49c669e5668f7df9e64b780635fc5">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93b34329a67eb96f6d0dc0457c2e068"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2022-02-17T18:46:14+00:00</fca_mig_date>
    <fca_livelink_obj_id xmlns="http://schemas.microsoft.com/sharepoint/v3">59909896</fca_livelink_obj_id>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Guidance/2. Application notes</fca_mig_full_path>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Wholesale/Departmental Administration/Local Procedures and Guidance/2. Application notes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TaxCatchAll xmlns="964f0a7c-bcf0-4337-b577-3747e0a5c4bc">
      <Value>94</Value>
      <Value>3</Value>
      <Value>1</Value>
      <Value>69</Value>
    </TaxCatchAll>
    <_dlc_DocId xmlns="964f0a7c-bcf0-4337-b577-3747e0a5c4bc">LLMIGRATION-a9051b3672-59909896</_dlc_DocId>
    <_dlc_DocIdUrl xmlns="964f0a7c-bcf0-4337-b577-3747e0a5c4bc">
      <Url>https://thefca.sharepoint.com/sites/ProForMapAndLog/_layouts/15/DocIdRedir.aspx?ID=LLMIGRATION-a9051b3672-59909896</Url>
      <Description>LLMIGRATION-a9051b3672-59909896</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 xsi:nil="true"/>
    <fca_livelink_accessed_date xmlns="http://schemas.microsoft.com/sharepoint/v3" xsi:nil="tru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Validation Order</TermName>
          <TermId xmlns="http://schemas.microsoft.com/office/infopath/2007/PartnerControls">f48b0f5b-2fb0-433c-a3e1-f51feb09a2f6</TermId>
        </TermInfo>
      </Terms>
    </id42ed27a91f471db5fabca6a1153016>
    <_dlc_DocIdPersistId xmlns="964f0a7c-bcf0-4337-b577-3747e0a5c4bc">false</_dlc_DocIdPersistId>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F37821F1-176F-4393-8911-52E35A8E7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1E2D6-2F7E-4A53-8A1A-A64172859EC3}">
  <ds:schemaRefs>
    <ds:schemaRef ds:uri="http://schemas.microsoft.com/sharepoint/events"/>
  </ds:schemaRefs>
</ds:datastoreItem>
</file>

<file path=customXml/itemProps3.xml><?xml version="1.0" encoding="utf-8"?>
<ds:datastoreItem xmlns:ds="http://schemas.openxmlformats.org/officeDocument/2006/customXml" ds:itemID="{ABCCA49B-01B0-465D-9CB0-DB294519025D}">
  <ds:schemaRefs>
    <ds:schemaRef ds:uri="http://schemas.microsoft.com/sharepoint/v3/contenttype/forms"/>
  </ds:schemaRefs>
</ds:datastoreItem>
</file>

<file path=customXml/itemProps4.xml><?xml version="1.0" encoding="utf-8"?>
<ds:datastoreItem xmlns:ds="http://schemas.openxmlformats.org/officeDocument/2006/customXml" ds:itemID="{8307CC33-5B16-40E2-AB00-0F04700EDC3C}">
  <ds:schemaRefs>
    <ds:schemaRef ds:uri="http://schemas.openxmlformats.org/officeDocument/2006/bibliography"/>
  </ds:schemaRefs>
</ds:datastoreItem>
</file>

<file path=customXml/itemProps5.xml><?xml version="1.0" encoding="utf-8"?>
<ds:datastoreItem xmlns:ds="http://schemas.openxmlformats.org/officeDocument/2006/customXml" ds:itemID="{1C82CBF2-1A4A-4A07-9471-22F0200EE07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64f0a7c-bcf0-4337-b577-3747e0a5c4bc"/>
    <ds:schemaRef ds:uri="http://www.w3.org/XML/1998/namespace"/>
    <ds:schemaRef ds:uri="http://purl.org/dc/dcmitype/"/>
  </ds:schemaRefs>
</ds:datastoreItem>
</file>

<file path=customXml/itemProps6.xml><?xml version="1.0" encoding="utf-8"?>
<ds:datastoreItem xmlns:ds="http://schemas.openxmlformats.org/officeDocument/2006/customXml" ds:itemID="{098D04C3-B13F-499D-88B6-9A572763CB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2948</Words>
  <Characters>16808</Characters>
  <Application>Microsoft Office Word</Application>
  <DocSecurity>8</DocSecurity>
  <Lines>140</Lines>
  <Paragraphs>39</Paragraphs>
  <ScaleCrop>false</ScaleCrop>
  <Company>Financial Services Authority</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cc-validation-order-form-guidance-notes.docx</dc:title>
  <dc:creator>Policy &amp; Intelligence</dc:creator>
  <cp:lastModifiedBy>Kelly Dulieu</cp:lastModifiedBy>
  <cp:revision>91</cp:revision>
  <cp:lastPrinted>2018-03-22T14:55:00Z</cp:lastPrinted>
  <dcterms:created xsi:type="dcterms:W3CDTF">2019-03-29T12:09:00Z</dcterms:created>
  <dcterms:modified xsi:type="dcterms:W3CDTF">2025-04-01T16:06:00Z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information_classification">
    <vt:lpwstr>1;#FCA Official|d07129ec-4894-4cda-af0c-a925cb68d6e3</vt:lpwstr>
  </property>
  <property fmtid="{D5CDD505-2E9C-101B-9397-08002B2CF9AE}" pid="8" name="fca_document_purpose">
    <vt:lpwstr>3;#Administrative|c0a6a800-ee19-465d-995e-3864540afe03</vt:lpwstr>
  </property>
  <property fmtid="{D5CDD505-2E9C-101B-9397-08002B2CF9AE}" pid="9" name="fca_livelink_local_metadata">
    <vt:lpwstr>{}</vt:lpwstr>
  </property>
  <property fmtid="{D5CDD505-2E9C-101B-9397-08002B2CF9AE}" pid="10" name="fca_livelink_accessed_date">
    <vt:filetime>2020-11-12T14:26:32Z</vt:filetime>
  </property>
  <property fmtid="{D5CDD505-2E9C-101B-9397-08002B2CF9AE}" pid="11" name="Order">
    <vt:r8>4005100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fca_application_type">
    <vt:lpwstr>94;#Validation Order|f48b0f5b-2fb0-433c-a3e1-f51feb09a2f6</vt:lpwstr>
  </property>
  <property fmtid="{D5CDD505-2E9C-101B-9397-08002B2CF9AE}" pid="19" name="fca_auth_forms_doc_type">
    <vt:lpwstr>69;#Notes|e4af41b1-eb70-4312-b38d-f2aa4351fe98</vt:lpwstr>
  </property>
  <property fmtid="{D5CDD505-2E9C-101B-9397-08002B2CF9AE}" pid="20" name="l8bdf5901bd84cc9ab354cf74d0d75d8">
    <vt:lpwstr/>
  </property>
  <property fmtid="{D5CDD505-2E9C-101B-9397-08002B2CF9AE}" pid="21" name="k6cffc08cdea4d029f19334431296236">
    <vt:lpwstr/>
  </property>
  <property fmtid="{D5CDD505-2E9C-101B-9397-08002B2CF9AE}" pid="22" name="d10ce44c83b449bc85d6eb5d7135cd58">
    <vt:lpwstr/>
  </property>
  <property fmtid="{D5CDD505-2E9C-101B-9397-08002B2CF9AE}" pid="23" name="fca_log_type">
    <vt:lpwstr/>
  </property>
  <property fmtid="{D5CDD505-2E9C-101B-9397-08002B2CF9AE}" pid="24" name="fca_auth_process_doc_type">
    <vt:lpwstr/>
  </property>
  <property fmtid="{D5CDD505-2E9C-101B-9397-08002B2CF9AE}" pid="25" name="gd10d81d70b4400a8a9e2bd29d324e4c">
    <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month_year">
    <vt:lpwstr/>
  </property>
  <property fmtid="{D5CDD505-2E9C-101B-9397-08002B2CF9AE}" pid="29" name="fca_process_famiily">
    <vt:lpwstr/>
  </property>
  <property fmtid="{D5CDD505-2E9C-101B-9397-08002B2CF9AE}" pid="30" name="_dlc_DocIdItemGuid">
    <vt:lpwstr>cf12acfe-690e-4e5b-b52a-0eb1f118deab</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2022-12-22T18:01:39Z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8fd49d8d-2782-4939-8b9c-5715c6254d97</vt:lpwstr>
  </property>
  <property fmtid="{D5CDD505-2E9C-101B-9397-08002B2CF9AE}" pid="37" name="MSIP_Label_dec5709d-e239-496d-88c9-7dae94c5106e_ContentBits">
    <vt:lpwstr>0</vt:lpwstr>
  </property>
</Properties>
</file>